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3BC4" w:rsidRPr="00795D6C" w:rsidRDefault="00E03BC4" w:rsidP="00394681">
      <w:pPr>
        <w:pStyle w:val="Overskrift1"/>
        <w:jc w:val="left"/>
        <w:rPr>
          <w:b w:val="0"/>
          <w:sz w:val="32"/>
        </w:rPr>
      </w:pPr>
      <w:bookmarkStart w:id="0" w:name="_Toc25651338"/>
      <w:r w:rsidRPr="00795D6C">
        <w:rPr>
          <w:b w:val="0"/>
          <w:sz w:val="32"/>
        </w:rPr>
        <w:t>Bilag 1: Implementeringsskema for love og bekendtgørelser</w:t>
      </w:r>
      <w:bookmarkEnd w:id="0"/>
    </w:p>
    <w:p w:rsidR="00E03BC4" w:rsidRDefault="00E03BC4" w:rsidP="00394681">
      <w:pPr>
        <w:jc w:val="left"/>
      </w:pPr>
    </w:p>
    <w:p w:rsidR="00795D6C" w:rsidRDefault="00E03BC4" w:rsidP="00394681">
      <w:pPr>
        <w:jc w:val="left"/>
        <w:rPr>
          <w:sz w:val="22"/>
          <w:szCs w:val="22"/>
        </w:rPr>
      </w:pPr>
      <w:r w:rsidRPr="00795D6C">
        <w:rPr>
          <w:sz w:val="22"/>
          <w:szCs w:val="22"/>
        </w:rPr>
        <w:t xml:space="preserve">Implementeringsskemaet </w:t>
      </w:r>
      <w:r w:rsidR="00795D6C">
        <w:rPr>
          <w:sz w:val="22"/>
          <w:szCs w:val="22"/>
        </w:rPr>
        <w:t xml:space="preserve">skal </w:t>
      </w:r>
      <w:r w:rsidRPr="00795D6C">
        <w:rPr>
          <w:sz w:val="22"/>
          <w:szCs w:val="22"/>
        </w:rPr>
        <w:t xml:space="preserve">udfyldes for erhvervsrelevante lovforslag og bekendtgørelsesudkast, der implementerer EU-regulering. </w:t>
      </w:r>
    </w:p>
    <w:p w:rsidR="00795D6C" w:rsidRDefault="00795D6C" w:rsidP="00394681">
      <w:pPr>
        <w:jc w:val="left"/>
        <w:rPr>
          <w:sz w:val="22"/>
          <w:szCs w:val="22"/>
        </w:rPr>
      </w:pPr>
    </w:p>
    <w:p w:rsidR="00E03BC4" w:rsidRPr="00795D6C" w:rsidRDefault="00E03BC4" w:rsidP="00394681">
      <w:pPr>
        <w:jc w:val="left"/>
        <w:rPr>
          <w:sz w:val="22"/>
          <w:szCs w:val="22"/>
        </w:rPr>
      </w:pPr>
      <w:r w:rsidRPr="00795D6C">
        <w:rPr>
          <w:sz w:val="22"/>
          <w:szCs w:val="22"/>
        </w:rPr>
        <w:t xml:space="preserve">I skemaet </w:t>
      </w:r>
      <w:r w:rsidR="00795D6C">
        <w:rPr>
          <w:sz w:val="22"/>
          <w:szCs w:val="22"/>
        </w:rPr>
        <w:t xml:space="preserve">skal I </w:t>
      </w:r>
      <w:r w:rsidRPr="00795D6C">
        <w:rPr>
          <w:sz w:val="22"/>
          <w:szCs w:val="22"/>
        </w:rPr>
        <w:t xml:space="preserve">redegøre for, om principperne for implementering af erhvervsrettet regulering er overholdt. Hvis </w:t>
      </w:r>
      <w:r w:rsidR="00795D6C">
        <w:rPr>
          <w:sz w:val="22"/>
          <w:szCs w:val="22"/>
        </w:rPr>
        <w:t xml:space="preserve">I </w:t>
      </w:r>
      <w:r w:rsidRPr="00795D6C">
        <w:rPr>
          <w:sz w:val="22"/>
          <w:szCs w:val="22"/>
        </w:rPr>
        <w:t>afvige</w:t>
      </w:r>
      <w:r w:rsidR="00795D6C">
        <w:rPr>
          <w:sz w:val="22"/>
          <w:szCs w:val="22"/>
        </w:rPr>
        <w:t>r</w:t>
      </w:r>
      <w:r w:rsidRPr="00795D6C">
        <w:rPr>
          <w:sz w:val="22"/>
          <w:szCs w:val="22"/>
        </w:rPr>
        <w:t xml:space="preserve"> fra principperne, skal sager med væsentlige erhvervsøkonomiske konsekvenser godkendes af regeringens </w:t>
      </w:r>
      <w:r w:rsidR="00795D6C">
        <w:rPr>
          <w:sz w:val="22"/>
          <w:szCs w:val="22"/>
        </w:rPr>
        <w:t>Ø</w:t>
      </w:r>
      <w:r w:rsidRPr="00795D6C">
        <w:rPr>
          <w:sz w:val="22"/>
          <w:szCs w:val="22"/>
        </w:rPr>
        <w:t xml:space="preserve">konomiudvalg, men sager under bagatelgrænserne godkendes af erhvervsministeren og den relevante fagminister. Godkendelsen skal finde sted forud for den offentlige høring af et lovforslag/udkast til bekendtgørelse. </w:t>
      </w:r>
    </w:p>
    <w:p w:rsidR="00E03BC4" w:rsidRDefault="00E03BC4" w:rsidP="00394681">
      <w:pPr>
        <w:jc w:val="left"/>
      </w:pPr>
    </w:p>
    <w:p w:rsidR="00E03BC4" w:rsidRPr="00E03BC4" w:rsidRDefault="00E03BC4" w:rsidP="00394681">
      <w:pPr>
        <w:pStyle w:val="Overskrift2"/>
        <w:jc w:val="left"/>
        <w:rPr>
          <w:color w:val="auto"/>
        </w:rPr>
      </w:pPr>
      <w:r w:rsidRPr="00E03BC4">
        <w:rPr>
          <w:color w:val="auto"/>
        </w:rPr>
        <w:t xml:space="preserve">Overordnede informationer om lovforslaget/bekendtgørelsen </w:t>
      </w:r>
    </w:p>
    <w:tbl>
      <w:tblPr>
        <w:tblStyle w:val="Tabel-Gitter"/>
        <w:tblW w:w="0" w:type="auto"/>
        <w:tblLook w:val="04A0" w:firstRow="1" w:lastRow="0" w:firstColumn="1" w:lastColumn="0" w:noHBand="0" w:noVBand="1"/>
        <w:tblCaption w:val="Overordnede informationer om lovforslaget/bekendtgørelsen "/>
      </w:tblPr>
      <w:tblGrid>
        <w:gridCol w:w="4587"/>
        <w:gridCol w:w="4588"/>
      </w:tblGrid>
      <w:tr w:rsidR="00E03BC4" w:rsidTr="00F53919">
        <w:tc>
          <w:tcPr>
            <w:tcW w:w="4587" w:type="dxa"/>
            <w:shd w:val="clear" w:color="auto" w:fill="FFC000"/>
          </w:tcPr>
          <w:p w:rsidR="00E03BC4" w:rsidRDefault="00E03BC4" w:rsidP="00394681">
            <w:pPr>
              <w:jc w:val="left"/>
            </w:pPr>
            <w:r>
              <w:t>Titel på lovforslag/bekendtgørelse:</w:t>
            </w:r>
          </w:p>
        </w:tc>
        <w:tc>
          <w:tcPr>
            <w:tcW w:w="4588" w:type="dxa"/>
          </w:tcPr>
          <w:p w:rsidR="00E03BC4" w:rsidRDefault="00E03BC4" w:rsidP="00394681">
            <w:pPr>
              <w:jc w:val="left"/>
            </w:pPr>
          </w:p>
        </w:tc>
      </w:tr>
      <w:tr w:rsidR="00E03BC4" w:rsidTr="00F53919">
        <w:tc>
          <w:tcPr>
            <w:tcW w:w="4587" w:type="dxa"/>
            <w:shd w:val="clear" w:color="auto" w:fill="FFC000"/>
          </w:tcPr>
          <w:p w:rsidR="00E03BC4" w:rsidRDefault="00E03BC4" w:rsidP="00394681">
            <w:pPr>
              <w:jc w:val="left"/>
            </w:pPr>
            <w:r>
              <w:t>EU-retsakt(er), der implementeres:</w:t>
            </w:r>
          </w:p>
        </w:tc>
        <w:tc>
          <w:tcPr>
            <w:tcW w:w="4588" w:type="dxa"/>
          </w:tcPr>
          <w:p w:rsidR="00E03BC4" w:rsidRDefault="00E03BC4" w:rsidP="00394681">
            <w:pPr>
              <w:jc w:val="left"/>
            </w:pPr>
          </w:p>
        </w:tc>
      </w:tr>
      <w:tr w:rsidR="00E03BC4" w:rsidTr="00F53919">
        <w:tc>
          <w:tcPr>
            <w:tcW w:w="4587" w:type="dxa"/>
            <w:shd w:val="clear" w:color="auto" w:fill="FFC000"/>
          </w:tcPr>
          <w:p w:rsidR="00E03BC4" w:rsidRDefault="00E03BC4" w:rsidP="00394681">
            <w:pPr>
              <w:jc w:val="left"/>
            </w:pPr>
            <w:r>
              <w:t>Dato for offentlig høring:</w:t>
            </w:r>
          </w:p>
        </w:tc>
        <w:tc>
          <w:tcPr>
            <w:tcW w:w="4588" w:type="dxa"/>
          </w:tcPr>
          <w:p w:rsidR="00E03BC4" w:rsidRDefault="00E03BC4" w:rsidP="00394681">
            <w:pPr>
              <w:jc w:val="left"/>
            </w:pPr>
          </w:p>
        </w:tc>
      </w:tr>
      <w:tr w:rsidR="00E03BC4" w:rsidTr="00F53919">
        <w:tc>
          <w:tcPr>
            <w:tcW w:w="4587" w:type="dxa"/>
            <w:shd w:val="clear" w:color="auto" w:fill="FFC000"/>
          </w:tcPr>
          <w:p w:rsidR="00E03BC4" w:rsidRDefault="00E03BC4" w:rsidP="00394681">
            <w:pPr>
              <w:jc w:val="left"/>
            </w:pPr>
            <w:r>
              <w:t>Ansvarligt ministerium/styrelse:</w:t>
            </w:r>
          </w:p>
        </w:tc>
        <w:tc>
          <w:tcPr>
            <w:tcW w:w="4588" w:type="dxa"/>
          </w:tcPr>
          <w:p w:rsidR="00E03BC4" w:rsidRDefault="00E03BC4" w:rsidP="00394681">
            <w:pPr>
              <w:jc w:val="left"/>
            </w:pPr>
          </w:p>
        </w:tc>
      </w:tr>
      <w:tr w:rsidR="00E03BC4" w:rsidTr="00F53919">
        <w:tc>
          <w:tcPr>
            <w:tcW w:w="4587" w:type="dxa"/>
            <w:shd w:val="clear" w:color="auto" w:fill="FFC000"/>
          </w:tcPr>
          <w:p w:rsidR="00E03BC4" w:rsidRDefault="00E03BC4" w:rsidP="00394681">
            <w:pPr>
              <w:jc w:val="left"/>
            </w:pPr>
            <w:r>
              <w:t xml:space="preserve">Kontaktperson og -oplysninger: </w:t>
            </w:r>
          </w:p>
        </w:tc>
        <w:tc>
          <w:tcPr>
            <w:tcW w:w="4588" w:type="dxa"/>
          </w:tcPr>
          <w:p w:rsidR="00E03BC4" w:rsidRDefault="00E03BC4" w:rsidP="00394681">
            <w:pPr>
              <w:jc w:val="left"/>
            </w:pPr>
          </w:p>
        </w:tc>
      </w:tr>
    </w:tbl>
    <w:p w:rsidR="00E03BC4" w:rsidRDefault="00E03BC4" w:rsidP="00394681">
      <w:pPr>
        <w:jc w:val="left"/>
      </w:pPr>
    </w:p>
    <w:p w:rsidR="00E03BC4" w:rsidRPr="00E03BC4" w:rsidRDefault="00E03BC4" w:rsidP="00394681">
      <w:pPr>
        <w:pStyle w:val="Overskrift2"/>
        <w:jc w:val="left"/>
        <w:rPr>
          <w:color w:val="auto"/>
        </w:rPr>
      </w:pPr>
      <w:r w:rsidRPr="00E03BC4">
        <w:rPr>
          <w:color w:val="auto"/>
        </w:rPr>
        <w:t xml:space="preserve">Er implementeringen i strid med de fem principper? </w:t>
      </w:r>
    </w:p>
    <w:tbl>
      <w:tblPr>
        <w:tblStyle w:val="Tabel-Gitter"/>
        <w:tblW w:w="0" w:type="auto"/>
        <w:tblLook w:val="04A0" w:firstRow="1" w:lastRow="0" w:firstColumn="1" w:lastColumn="0" w:noHBand="0" w:noVBand="1"/>
        <w:tblCaption w:val="Er implementeringen i strid med de fem principper? "/>
      </w:tblPr>
      <w:tblGrid>
        <w:gridCol w:w="4587"/>
        <w:gridCol w:w="4588"/>
      </w:tblGrid>
      <w:tr w:rsidR="00E03BC4" w:rsidTr="00F53919">
        <w:tc>
          <w:tcPr>
            <w:tcW w:w="4587" w:type="dxa"/>
            <w:shd w:val="clear" w:color="auto" w:fill="FFC000"/>
          </w:tcPr>
          <w:p w:rsidR="00E03BC4" w:rsidRDefault="00E03BC4" w:rsidP="00394681">
            <w:pPr>
              <w:jc w:val="left"/>
            </w:pPr>
            <w:r>
              <w:t xml:space="preserve">Er implementeringen i strid med principperne angives ”Ja”. Er implementeringen </w:t>
            </w:r>
            <w:r w:rsidRPr="00101A7A">
              <w:rPr>
                <w:u w:val="single"/>
              </w:rPr>
              <w:t>ikke</w:t>
            </w:r>
            <w:r>
              <w:t xml:space="preserve"> i strid overholdes angives ”Nej” (udfyldes til sidst). </w:t>
            </w:r>
          </w:p>
        </w:tc>
        <w:tc>
          <w:tcPr>
            <w:tcW w:w="4588" w:type="dxa"/>
          </w:tcPr>
          <w:p w:rsidR="00E03BC4" w:rsidRDefault="00E03BC4" w:rsidP="00394681">
            <w:pPr>
              <w:jc w:val="left"/>
            </w:pPr>
          </w:p>
        </w:tc>
      </w:tr>
    </w:tbl>
    <w:p w:rsidR="00E03BC4" w:rsidRDefault="00E03BC4" w:rsidP="00394681">
      <w:pPr>
        <w:jc w:val="left"/>
      </w:pPr>
    </w:p>
    <w:p w:rsidR="00E03BC4" w:rsidRPr="00E03BC4" w:rsidRDefault="00E03BC4" w:rsidP="00394681">
      <w:pPr>
        <w:pStyle w:val="Overskrift2"/>
        <w:jc w:val="left"/>
        <w:rPr>
          <w:color w:val="auto"/>
        </w:rPr>
      </w:pPr>
      <w:r w:rsidRPr="00E03BC4">
        <w:rPr>
          <w:color w:val="auto"/>
        </w:rPr>
        <w:t>Redegør</w:t>
      </w:r>
      <w:r w:rsidRPr="00E03BC4">
        <w:rPr>
          <w:color w:val="auto"/>
        </w:rPr>
        <w:t xml:space="preserve"> for, om de fem principper for implementering</w:t>
      </w:r>
      <w:r w:rsidRPr="00E03BC4">
        <w:rPr>
          <w:color w:val="auto"/>
        </w:rPr>
        <w:t xml:space="preserve"> </w:t>
      </w:r>
      <w:r w:rsidRPr="00E03BC4">
        <w:rPr>
          <w:color w:val="auto"/>
        </w:rPr>
        <w:t xml:space="preserve">af erhvervsrettet EU-regulering er overholdt </w:t>
      </w:r>
    </w:p>
    <w:p w:rsidR="00E03BC4" w:rsidRDefault="00E03BC4" w:rsidP="00394681">
      <w:pPr>
        <w:jc w:val="left"/>
      </w:pPr>
    </w:p>
    <w:tbl>
      <w:tblPr>
        <w:tblStyle w:val="Tabel-Gitter"/>
        <w:tblW w:w="0" w:type="auto"/>
        <w:tblLook w:val="04A0" w:firstRow="1" w:lastRow="0" w:firstColumn="1" w:lastColumn="0" w:noHBand="0" w:noVBand="1"/>
        <w:tblCaption w:val="Redegør for, om de fem principper for implementering er overholdt (jf. de fem principper for implementering af erhvervsrettet EU-regulering) "/>
      </w:tblPr>
      <w:tblGrid>
        <w:gridCol w:w="9175"/>
      </w:tblGrid>
      <w:tr w:rsidR="00E03BC4" w:rsidTr="00F53919">
        <w:tc>
          <w:tcPr>
            <w:tcW w:w="9175" w:type="dxa"/>
            <w:shd w:val="clear" w:color="auto" w:fill="FFC000"/>
          </w:tcPr>
          <w:p w:rsidR="00E03BC4" w:rsidRDefault="00E03BC4" w:rsidP="00394681">
            <w:pPr>
              <w:pStyle w:val="Listeafsnit"/>
              <w:numPr>
                <w:ilvl w:val="0"/>
                <w:numId w:val="1"/>
              </w:numPr>
              <w:jc w:val="left"/>
            </w:pPr>
            <w:r>
              <w:t>Den nationale regulering bør som udgangspunkt ikke gå videre end minimumskravene i EU-reguleringen.</w:t>
            </w:r>
          </w:p>
        </w:tc>
      </w:tr>
      <w:tr w:rsidR="00E03BC4" w:rsidTr="00F53919">
        <w:tc>
          <w:tcPr>
            <w:tcW w:w="9175" w:type="dxa"/>
          </w:tcPr>
          <w:p w:rsidR="00E03BC4" w:rsidRDefault="00E03BC4" w:rsidP="00394681">
            <w:pPr>
              <w:jc w:val="left"/>
            </w:pPr>
          </w:p>
          <w:p w:rsidR="00E03BC4" w:rsidRDefault="00E03BC4" w:rsidP="00394681">
            <w:pPr>
              <w:jc w:val="left"/>
            </w:pPr>
          </w:p>
        </w:tc>
      </w:tr>
      <w:tr w:rsidR="00E03BC4" w:rsidTr="00F53919">
        <w:tc>
          <w:tcPr>
            <w:tcW w:w="9175" w:type="dxa"/>
            <w:shd w:val="clear" w:color="auto" w:fill="FFC000"/>
          </w:tcPr>
          <w:p w:rsidR="00E03BC4" w:rsidRDefault="00E03BC4" w:rsidP="00394681">
            <w:pPr>
              <w:pStyle w:val="Listeafsnit"/>
              <w:numPr>
                <w:ilvl w:val="0"/>
                <w:numId w:val="1"/>
              </w:numPr>
              <w:jc w:val="left"/>
            </w:pPr>
            <w:r>
              <w:t xml:space="preserve">Danske virksomheder skal ikke stilles dårligere i den internationale konkurrence, hvorfor implementeringen ikke bør være mere byrdefuld end den forventede implementering i sammenlignelige EU-lande. </w:t>
            </w:r>
          </w:p>
          <w:p w:rsidR="00E03BC4" w:rsidRDefault="00E03BC4" w:rsidP="00394681">
            <w:pPr>
              <w:jc w:val="left"/>
            </w:pPr>
          </w:p>
        </w:tc>
      </w:tr>
      <w:tr w:rsidR="00E03BC4" w:rsidTr="00F53919">
        <w:tc>
          <w:tcPr>
            <w:tcW w:w="9175" w:type="dxa"/>
          </w:tcPr>
          <w:p w:rsidR="00E03BC4" w:rsidRDefault="00E03BC4" w:rsidP="00394681">
            <w:pPr>
              <w:jc w:val="left"/>
            </w:pPr>
          </w:p>
          <w:p w:rsidR="00E03BC4" w:rsidRDefault="00E03BC4" w:rsidP="00394681">
            <w:pPr>
              <w:jc w:val="left"/>
            </w:pPr>
          </w:p>
        </w:tc>
      </w:tr>
      <w:tr w:rsidR="00E03BC4" w:rsidTr="00F53919">
        <w:tc>
          <w:tcPr>
            <w:tcW w:w="9175" w:type="dxa"/>
            <w:shd w:val="clear" w:color="auto" w:fill="FFC000"/>
          </w:tcPr>
          <w:p w:rsidR="00E03BC4" w:rsidRDefault="00E03BC4" w:rsidP="00394681">
            <w:pPr>
              <w:pStyle w:val="Listeafsnit"/>
              <w:numPr>
                <w:ilvl w:val="0"/>
                <w:numId w:val="1"/>
              </w:numPr>
              <w:jc w:val="left"/>
            </w:pPr>
            <w:r>
              <w:t xml:space="preserve">Fleksibilitet og undtagelsesmuligheder i EU-reguleringen bør udnyttes. </w:t>
            </w:r>
          </w:p>
          <w:p w:rsidR="00E03BC4" w:rsidRDefault="00E03BC4" w:rsidP="00394681">
            <w:pPr>
              <w:jc w:val="left"/>
            </w:pPr>
          </w:p>
        </w:tc>
      </w:tr>
      <w:tr w:rsidR="00E03BC4" w:rsidTr="00F53919">
        <w:tc>
          <w:tcPr>
            <w:tcW w:w="9175" w:type="dxa"/>
          </w:tcPr>
          <w:p w:rsidR="00E03BC4" w:rsidRDefault="00E03BC4" w:rsidP="00394681">
            <w:pPr>
              <w:jc w:val="left"/>
            </w:pPr>
          </w:p>
          <w:p w:rsidR="00E03BC4" w:rsidRDefault="00E03BC4" w:rsidP="00394681">
            <w:pPr>
              <w:jc w:val="left"/>
            </w:pPr>
          </w:p>
        </w:tc>
      </w:tr>
      <w:tr w:rsidR="00E03BC4" w:rsidTr="00F53919">
        <w:tc>
          <w:tcPr>
            <w:tcW w:w="9175" w:type="dxa"/>
            <w:shd w:val="clear" w:color="auto" w:fill="FFC000"/>
          </w:tcPr>
          <w:p w:rsidR="00E03BC4" w:rsidRDefault="00E03BC4" w:rsidP="00394681">
            <w:pPr>
              <w:pStyle w:val="Listeafsnit"/>
              <w:numPr>
                <w:ilvl w:val="0"/>
                <w:numId w:val="1"/>
              </w:numPr>
              <w:jc w:val="left"/>
            </w:pPr>
            <w:r>
              <w:t xml:space="preserve">I det omfang det er muligt og hensigtsmæssigt bør EU-regulering implementeres gennem alternativer til regulering </w:t>
            </w:r>
          </w:p>
          <w:p w:rsidR="00E03BC4" w:rsidRDefault="00E03BC4" w:rsidP="00394681">
            <w:pPr>
              <w:jc w:val="left"/>
            </w:pPr>
          </w:p>
        </w:tc>
      </w:tr>
      <w:tr w:rsidR="00E03BC4" w:rsidTr="00F53919">
        <w:tc>
          <w:tcPr>
            <w:tcW w:w="9175" w:type="dxa"/>
          </w:tcPr>
          <w:p w:rsidR="00E03BC4" w:rsidRDefault="00E03BC4" w:rsidP="00394681">
            <w:pPr>
              <w:jc w:val="left"/>
            </w:pPr>
          </w:p>
          <w:p w:rsidR="00E03BC4" w:rsidRDefault="00E03BC4" w:rsidP="00394681">
            <w:pPr>
              <w:jc w:val="left"/>
            </w:pPr>
          </w:p>
        </w:tc>
      </w:tr>
      <w:tr w:rsidR="00E03BC4" w:rsidTr="00F53919">
        <w:tc>
          <w:tcPr>
            <w:tcW w:w="9175" w:type="dxa"/>
            <w:shd w:val="clear" w:color="auto" w:fill="FFC000"/>
          </w:tcPr>
          <w:p w:rsidR="00E03BC4" w:rsidRDefault="00E03BC4" w:rsidP="00394681">
            <w:pPr>
              <w:pStyle w:val="Listeafsnit"/>
              <w:numPr>
                <w:ilvl w:val="0"/>
                <w:numId w:val="1"/>
              </w:numPr>
              <w:jc w:val="left"/>
            </w:pPr>
            <w:r>
              <w:t xml:space="preserve">Byrdefuld EU-regulering bør træde i kraft senest muligt og under hensyntagen til de fælles ikrafttrædelsesdatoer. </w:t>
            </w:r>
          </w:p>
          <w:p w:rsidR="00E03BC4" w:rsidRDefault="00E03BC4" w:rsidP="00394681">
            <w:pPr>
              <w:jc w:val="left"/>
            </w:pPr>
          </w:p>
        </w:tc>
      </w:tr>
      <w:tr w:rsidR="00E03BC4" w:rsidTr="00F53919">
        <w:tc>
          <w:tcPr>
            <w:tcW w:w="9175" w:type="dxa"/>
          </w:tcPr>
          <w:p w:rsidR="00E03BC4" w:rsidRDefault="00E03BC4" w:rsidP="00394681">
            <w:pPr>
              <w:jc w:val="left"/>
            </w:pPr>
          </w:p>
          <w:p w:rsidR="00E03BC4" w:rsidRDefault="00E03BC4" w:rsidP="00394681">
            <w:pPr>
              <w:jc w:val="left"/>
            </w:pPr>
          </w:p>
        </w:tc>
      </w:tr>
    </w:tbl>
    <w:p w:rsidR="00E03BC4" w:rsidRDefault="00E03BC4" w:rsidP="00394681">
      <w:pPr>
        <w:jc w:val="left"/>
      </w:pPr>
    </w:p>
    <w:p w:rsidR="00E03BC4" w:rsidRPr="00C428DB" w:rsidRDefault="00E03BC4" w:rsidP="00394681">
      <w:pPr>
        <w:pStyle w:val="Overskrift2"/>
        <w:jc w:val="left"/>
      </w:pPr>
      <w:r w:rsidRPr="00E03BC4">
        <w:rPr>
          <w:color w:val="auto"/>
        </w:rPr>
        <w:lastRenderedPageBreak/>
        <w:t>Anbefalinger fra Erhvervslivets EU- og Regelforum</w:t>
      </w:r>
    </w:p>
    <w:p w:rsidR="00E03BC4" w:rsidRDefault="00E03BC4" w:rsidP="00394681">
      <w:pPr>
        <w:jc w:val="left"/>
      </w:pPr>
      <w:r>
        <w:t xml:space="preserve">Hvis Erhvervslivets EU- og Regelforum har afgivet anbefalinger til implementeringen af det pågældende initiativ, angives anbefalingerne, og der redegøres for, om anbefalingerne er fulgt. </w:t>
      </w:r>
    </w:p>
    <w:p w:rsidR="00E03BC4" w:rsidRDefault="00E03BC4" w:rsidP="00394681">
      <w:pPr>
        <w:jc w:val="left"/>
      </w:pPr>
    </w:p>
    <w:tbl>
      <w:tblPr>
        <w:tblStyle w:val="Tabel-Gitter"/>
        <w:tblW w:w="0" w:type="auto"/>
        <w:tblLook w:val="04A0" w:firstRow="1" w:lastRow="0" w:firstColumn="1" w:lastColumn="0" w:noHBand="0" w:noVBand="1"/>
        <w:tblCaption w:val="Anbefalinger fra Erhvervslivets EU- og Regelforum"/>
      </w:tblPr>
      <w:tblGrid>
        <w:gridCol w:w="4587"/>
        <w:gridCol w:w="4588"/>
      </w:tblGrid>
      <w:tr w:rsidR="00E03BC4" w:rsidTr="00F53919">
        <w:tc>
          <w:tcPr>
            <w:tcW w:w="4587" w:type="dxa"/>
            <w:shd w:val="clear" w:color="auto" w:fill="FFC000"/>
          </w:tcPr>
          <w:p w:rsidR="00E03BC4" w:rsidRDefault="00E03BC4" w:rsidP="00394681">
            <w:pPr>
              <w:jc w:val="left"/>
            </w:pPr>
            <w:r>
              <w:t>Anbefalinger fra Erhvervslivets EU- og Regelforum</w:t>
            </w:r>
          </w:p>
        </w:tc>
        <w:tc>
          <w:tcPr>
            <w:tcW w:w="4588" w:type="dxa"/>
          </w:tcPr>
          <w:p w:rsidR="00E03BC4" w:rsidRDefault="00E03BC4" w:rsidP="00394681">
            <w:pPr>
              <w:jc w:val="left"/>
            </w:pPr>
          </w:p>
        </w:tc>
      </w:tr>
      <w:tr w:rsidR="00E03BC4" w:rsidTr="00F53919">
        <w:tc>
          <w:tcPr>
            <w:tcW w:w="4587" w:type="dxa"/>
            <w:shd w:val="clear" w:color="auto" w:fill="FFC000"/>
          </w:tcPr>
          <w:p w:rsidR="00E03BC4" w:rsidRDefault="00E03BC4" w:rsidP="00394681">
            <w:pPr>
              <w:jc w:val="left"/>
            </w:pPr>
            <w:r>
              <w:t>Er anbefalingerne fulgt?</w:t>
            </w:r>
          </w:p>
        </w:tc>
        <w:tc>
          <w:tcPr>
            <w:tcW w:w="4588" w:type="dxa"/>
          </w:tcPr>
          <w:p w:rsidR="00E03BC4" w:rsidRDefault="00E03BC4" w:rsidP="00394681">
            <w:pPr>
              <w:jc w:val="left"/>
            </w:pPr>
          </w:p>
        </w:tc>
      </w:tr>
      <w:tr w:rsidR="00E03BC4" w:rsidTr="00F53919">
        <w:tc>
          <w:tcPr>
            <w:tcW w:w="4587" w:type="dxa"/>
            <w:shd w:val="clear" w:color="auto" w:fill="FFC000"/>
          </w:tcPr>
          <w:p w:rsidR="00E03BC4" w:rsidRDefault="00E03BC4" w:rsidP="00394681">
            <w:pPr>
              <w:jc w:val="left"/>
            </w:pPr>
            <w:r>
              <w:t>Hvis ja, angiv hvordan.</w:t>
            </w:r>
          </w:p>
        </w:tc>
        <w:tc>
          <w:tcPr>
            <w:tcW w:w="4588" w:type="dxa"/>
          </w:tcPr>
          <w:p w:rsidR="00E03BC4" w:rsidRDefault="00E03BC4" w:rsidP="00394681">
            <w:pPr>
              <w:jc w:val="left"/>
            </w:pPr>
          </w:p>
        </w:tc>
      </w:tr>
      <w:tr w:rsidR="00E03BC4" w:rsidTr="00F53919">
        <w:tc>
          <w:tcPr>
            <w:tcW w:w="4587" w:type="dxa"/>
            <w:shd w:val="clear" w:color="auto" w:fill="FFC000"/>
          </w:tcPr>
          <w:p w:rsidR="00E03BC4" w:rsidRDefault="00E03BC4" w:rsidP="00394681">
            <w:pPr>
              <w:jc w:val="left"/>
            </w:pPr>
            <w:r>
              <w:t xml:space="preserve">Hvis nej, forklar hvorfor. </w:t>
            </w:r>
          </w:p>
        </w:tc>
        <w:tc>
          <w:tcPr>
            <w:tcW w:w="4588" w:type="dxa"/>
          </w:tcPr>
          <w:p w:rsidR="00E03BC4" w:rsidRDefault="00E03BC4" w:rsidP="00394681">
            <w:pPr>
              <w:jc w:val="left"/>
            </w:pPr>
          </w:p>
        </w:tc>
      </w:tr>
    </w:tbl>
    <w:p w:rsidR="00E03BC4" w:rsidRDefault="00E03BC4" w:rsidP="00394681">
      <w:pPr>
        <w:jc w:val="left"/>
      </w:pPr>
    </w:p>
    <w:p w:rsidR="00E03BC4" w:rsidRPr="00E03BC4" w:rsidRDefault="00E03BC4" w:rsidP="00394681">
      <w:pPr>
        <w:pStyle w:val="Overskrift2"/>
        <w:jc w:val="left"/>
        <w:rPr>
          <w:color w:val="auto"/>
        </w:rPr>
      </w:pPr>
      <w:r w:rsidRPr="00E03BC4">
        <w:rPr>
          <w:color w:val="auto"/>
        </w:rPr>
        <w:t xml:space="preserve">Øvrige bemærkninger </w:t>
      </w:r>
    </w:p>
    <w:p w:rsidR="00E03BC4" w:rsidRDefault="00E03BC4" w:rsidP="00394681">
      <w:pPr>
        <w:jc w:val="left"/>
      </w:pPr>
      <w:r>
        <w:t xml:space="preserve">Hvis </w:t>
      </w:r>
      <w:r w:rsidR="00795D6C">
        <w:t>I har</w:t>
      </w:r>
      <w:r>
        <w:t xml:space="preserve"> øvrige bemærkninger til implementeringen, kan </w:t>
      </w:r>
      <w:r w:rsidR="00795D6C">
        <w:t>I</w:t>
      </w:r>
      <w:r>
        <w:t xml:space="preserve"> </w:t>
      </w:r>
      <w:r>
        <w:t>anføre</w:t>
      </w:r>
      <w:r>
        <w:t xml:space="preserve"> dem</w:t>
      </w:r>
      <w:r>
        <w:t xml:space="preserve"> her:</w:t>
      </w:r>
    </w:p>
    <w:tbl>
      <w:tblPr>
        <w:tblStyle w:val="Tabel-Gitter"/>
        <w:tblW w:w="0" w:type="auto"/>
        <w:tblLook w:val="04A0" w:firstRow="1" w:lastRow="0" w:firstColumn="1" w:lastColumn="0" w:noHBand="0" w:noVBand="1"/>
        <w:tblCaption w:val="Øvrige bemærkninger "/>
      </w:tblPr>
      <w:tblGrid>
        <w:gridCol w:w="9175"/>
      </w:tblGrid>
      <w:tr w:rsidR="00E03BC4" w:rsidTr="00F53919">
        <w:tc>
          <w:tcPr>
            <w:tcW w:w="9175" w:type="dxa"/>
          </w:tcPr>
          <w:p w:rsidR="00E03BC4" w:rsidRDefault="00E03BC4" w:rsidP="00394681">
            <w:pPr>
              <w:jc w:val="left"/>
            </w:pPr>
          </w:p>
          <w:p w:rsidR="00E03BC4" w:rsidRDefault="00E03BC4" w:rsidP="00394681">
            <w:pPr>
              <w:jc w:val="left"/>
            </w:pPr>
            <w:bookmarkStart w:id="1" w:name="_GoBack"/>
            <w:bookmarkEnd w:id="1"/>
          </w:p>
          <w:p w:rsidR="00E03BC4" w:rsidRDefault="00E03BC4" w:rsidP="00394681">
            <w:pPr>
              <w:jc w:val="left"/>
            </w:pPr>
          </w:p>
          <w:p w:rsidR="00E03BC4" w:rsidRDefault="00E03BC4" w:rsidP="00394681">
            <w:pPr>
              <w:jc w:val="left"/>
            </w:pPr>
          </w:p>
        </w:tc>
      </w:tr>
    </w:tbl>
    <w:p w:rsidR="0050719D" w:rsidRDefault="0050719D" w:rsidP="00394681">
      <w:pPr>
        <w:jc w:val="left"/>
      </w:pPr>
    </w:p>
    <w:sectPr w:rsidR="0050719D">
      <w:type w:val="nextColumn"/>
      <w:pgSz w:w="11907" w:h="16840" w:code="9"/>
      <w:pgMar w:top="1134" w:right="1361" w:bottom="1134" w:left="1361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2F54" w:rsidRDefault="008F2F54" w:rsidP="00EC76D3">
      <w:r>
        <w:separator/>
      </w:r>
    </w:p>
  </w:endnote>
  <w:endnote w:type="continuationSeparator" w:id="0">
    <w:p w:rsidR="008F2F54" w:rsidRDefault="008F2F54" w:rsidP="00EC7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2F54" w:rsidRDefault="008F2F54" w:rsidP="00EC76D3">
      <w:r>
        <w:separator/>
      </w:r>
    </w:p>
  </w:footnote>
  <w:footnote w:type="continuationSeparator" w:id="0">
    <w:p w:rsidR="008F2F54" w:rsidRDefault="008F2F54" w:rsidP="00EC76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1D1CF4"/>
    <w:multiLevelType w:val="hybridMultilevel"/>
    <w:tmpl w:val="B88C795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BC4"/>
    <w:rsid w:val="002105F4"/>
    <w:rsid w:val="00394681"/>
    <w:rsid w:val="003D5268"/>
    <w:rsid w:val="004428B9"/>
    <w:rsid w:val="0050719D"/>
    <w:rsid w:val="00535490"/>
    <w:rsid w:val="00546FFD"/>
    <w:rsid w:val="00795D6C"/>
    <w:rsid w:val="00802174"/>
    <w:rsid w:val="008E3CA0"/>
    <w:rsid w:val="008F2F54"/>
    <w:rsid w:val="00B0561F"/>
    <w:rsid w:val="00C16FAC"/>
    <w:rsid w:val="00D23C46"/>
    <w:rsid w:val="00E03BC4"/>
    <w:rsid w:val="00EC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B081BDA"/>
  <w15:chartTrackingRefBased/>
  <w15:docId w15:val="{C4097C41-596D-435E-9835-39F9D66B0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3BC4"/>
    <w:pPr>
      <w:jc w:val="both"/>
    </w:pPr>
    <w:rPr>
      <w:rFonts w:ascii="Segoe UI" w:hAnsi="Segoe UI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03BC4"/>
    <w:pPr>
      <w:keepNext/>
      <w:keepLines/>
      <w:outlineLvl w:val="0"/>
    </w:pPr>
    <w:rPr>
      <w:rFonts w:eastAsiaTheme="majorEastAsia" w:cstheme="majorBidi"/>
      <w:b/>
      <w:sz w:val="26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03BC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Personligmeddelelsesform">
    <w:name w:val="Personlig meddelelsesform"/>
    <w:basedOn w:val="Standardskrifttypeiafsnit"/>
    <w:rPr>
      <w:rFonts w:ascii="Arial" w:hAnsi="Arial" w:cs="Arial"/>
      <w:color w:val="auto"/>
      <w:sz w:val="20"/>
    </w:rPr>
  </w:style>
  <w:style w:type="character" w:customStyle="1" w:styleId="Personligsvarlayout">
    <w:name w:val="Personlig svarlayout"/>
    <w:basedOn w:val="Standardskrifttypeiafsnit"/>
    <w:rPr>
      <w:rFonts w:ascii="Arial" w:hAnsi="Arial" w:cs="Arial"/>
      <w:color w:val="auto"/>
      <w:sz w:val="2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E03BC4"/>
    <w:rPr>
      <w:rFonts w:ascii="Segoe UI" w:eastAsiaTheme="majorEastAsia" w:hAnsi="Segoe UI" w:cstheme="majorBidi"/>
      <w:b/>
      <w:sz w:val="26"/>
      <w:szCs w:val="32"/>
    </w:rPr>
  </w:style>
  <w:style w:type="paragraph" w:styleId="Listeafsnit">
    <w:name w:val="List Paragraph"/>
    <w:basedOn w:val="Normal"/>
    <w:link w:val="ListeafsnitTegn"/>
    <w:uiPriority w:val="34"/>
    <w:qFormat/>
    <w:rsid w:val="00E03BC4"/>
    <w:pPr>
      <w:ind w:left="720"/>
      <w:contextualSpacing/>
    </w:pPr>
  </w:style>
  <w:style w:type="character" w:customStyle="1" w:styleId="ListeafsnitTegn">
    <w:name w:val="Listeafsnit Tegn"/>
    <w:basedOn w:val="Standardskrifttypeiafsnit"/>
    <w:link w:val="Listeafsnit"/>
    <w:uiPriority w:val="34"/>
    <w:locked/>
    <w:rsid w:val="00E03BC4"/>
    <w:rPr>
      <w:rFonts w:ascii="Segoe UI" w:hAnsi="Segoe UI"/>
    </w:rPr>
  </w:style>
  <w:style w:type="table" w:styleId="Tabel-Gitter">
    <w:name w:val="Table Grid"/>
    <w:basedOn w:val="Tabel-Normal"/>
    <w:uiPriority w:val="59"/>
    <w:rsid w:val="00E03B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typeiafsnit"/>
    <w:link w:val="Overskrift2"/>
    <w:uiPriority w:val="9"/>
    <w:rsid w:val="00E03BC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idehoved">
    <w:name w:val="header"/>
    <w:basedOn w:val="Normal"/>
    <w:link w:val="SidehovedTegn"/>
    <w:uiPriority w:val="99"/>
    <w:unhideWhenUsed/>
    <w:rsid w:val="00795D6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795D6C"/>
    <w:rPr>
      <w:rFonts w:ascii="Segoe UI" w:hAnsi="Segoe UI"/>
    </w:rPr>
  </w:style>
  <w:style w:type="paragraph" w:styleId="Sidefod">
    <w:name w:val="footer"/>
    <w:basedOn w:val="Normal"/>
    <w:link w:val="SidefodTegn"/>
    <w:uiPriority w:val="99"/>
    <w:unhideWhenUsed/>
    <w:rsid w:val="00795D6C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795D6C"/>
    <w:rPr>
      <w:rFonts w:ascii="Segoe UI" w:hAnsi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318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Høgh</dc:creator>
  <cp:keywords/>
  <dc:description/>
  <cp:lastModifiedBy>Anna Høgh</cp:lastModifiedBy>
  <cp:revision>2</cp:revision>
  <dcterms:created xsi:type="dcterms:W3CDTF">2019-11-26T12:04:00Z</dcterms:created>
  <dcterms:modified xsi:type="dcterms:W3CDTF">2019-11-26T12:45:00Z</dcterms:modified>
</cp:coreProperties>
</file>