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D4197" w14:textId="77777777" w:rsidR="003A20B2" w:rsidRDefault="003A20B2">
      <w:pPr>
        <w:pStyle w:val="Brdtekst"/>
        <w:spacing w:before="3"/>
        <w:rPr>
          <w:sz w:val="24"/>
        </w:rPr>
      </w:pPr>
    </w:p>
    <w:p w14:paraId="3FAD4198" w14:textId="77777777" w:rsidR="003A20B2" w:rsidRPr="007032F1" w:rsidRDefault="00371905">
      <w:pPr>
        <w:pStyle w:val="Overskrift1"/>
        <w:spacing w:before="68"/>
        <w:ind w:right="0"/>
        <w:rPr>
          <w:lang w:val="da-DK"/>
        </w:rPr>
      </w:pPr>
      <w:r w:rsidRPr="007032F1">
        <w:rPr>
          <w:lang w:val="da-DK"/>
        </w:rPr>
        <w:t>Bilag 1</w:t>
      </w:r>
    </w:p>
    <w:p w14:paraId="3FAD4199" w14:textId="77777777" w:rsidR="003A20B2" w:rsidRPr="007032F1" w:rsidRDefault="00371905">
      <w:pPr>
        <w:spacing w:before="2" w:line="244" w:lineRule="auto"/>
        <w:ind w:left="271" w:right="1363"/>
        <w:rPr>
          <w:b/>
          <w:sz w:val="23"/>
          <w:lang w:val="da-DK"/>
        </w:rPr>
      </w:pPr>
      <w:r w:rsidRPr="007032F1">
        <w:rPr>
          <w:b/>
          <w:sz w:val="23"/>
          <w:lang w:val="da-DK"/>
        </w:rPr>
        <w:t>Erklæring om medarbejdermedbestemmelse, hvis det fortsættende selskab skal henhøre under dansk</w:t>
      </w:r>
      <w:r w:rsidRPr="007032F1">
        <w:rPr>
          <w:b/>
          <w:spacing w:val="2"/>
          <w:sz w:val="23"/>
          <w:lang w:val="da-DK"/>
        </w:rPr>
        <w:t xml:space="preserve"> </w:t>
      </w:r>
      <w:r w:rsidRPr="007032F1">
        <w:rPr>
          <w:b/>
          <w:sz w:val="23"/>
          <w:lang w:val="da-DK"/>
        </w:rPr>
        <w:t>lovgivning</w:t>
      </w:r>
    </w:p>
    <w:p w14:paraId="3FAD419A" w14:textId="77777777" w:rsidR="003A20B2" w:rsidRPr="007032F1" w:rsidRDefault="003A20B2">
      <w:pPr>
        <w:pStyle w:val="Brdtekst"/>
        <w:spacing w:before="6"/>
        <w:rPr>
          <w:b/>
          <w:sz w:val="26"/>
          <w:lang w:val="da-DK"/>
        </w:rPr>
      </w:pPr>
    </w:p>
    <w:p w14:paraId="3FAD419B" w14:textId="77777777" w:rsidR="003A20B2" w:rsidRPr="007032F1" w:rsidRDefault="00371905">
      <w:pPr>
        <w:ind w:left="271" w:right="1363"/>
        <w:rPr>
          <w:sz w:val="39"/>
          <w:lang w:val="da-DK"/>
        </w:rPr>
      </w:pPr>
      <w:r w:rsidRPr="007032F1">
        <w:rPr>
          <w:sz w:val="39"/>
          <w:lang w:val="da-DK"/>
        </w:rPr>
        <w:t>ERKLÆRING OM MEDARBEJDERMEDBESTEMMELSE</w:t>
      </w:r>
    </w:p>
    <w:p w14:paraId="3FAD419C" w14:textId="77777777" w:rsidR="003A20B2" w:rsidRPr="007032F1" w:rsidRDefault="00371905">
      <w:pPr>
        <w:spacing w:line="308" w:lineRule="exact"/>
        <w:ind w:left="271"/>
        <w:jc w:val="both"/>
        <w:rPr>
          <w:sz w:val="27"/>
          <w:lang w:val="da-DK"/>
        </w:rPr>
      </w:pPr>
      <w:r w:rsidRPr="007032F1">
        <w:rPr>
          <w:sz w:val="27"/>
          <w:lang w:val="da-DK"/>
        </w:rPr>
        <w:t>i henhold til aktieselskabsloven § 139 e / anpartsselskabsloven § 67d</w:t>
      </w:r>
    </w:p>
    <w:p w14:paraId="3FAD419D" w14:textId="77777777" w:rsidR="003A20B2" w:rsidRPr="007032F1" w:rsidRDefault="003A20B2">
      <w:pPr>
        <w:pStyle w:val="Brdtekst"/>
        <w:spacing w:before="9"/>
        <w:rPr>
          <w:sz w:val="27"/>
          <w:lang w:val="da-DK"/>
        </w:rPr>
      </w:pPr>
    </w:p>
    <w:p w14:paraId="3FAD419E" w14:textId="77777777" w:rsidR="003A20B2" w:rsidRPr="007032F1" w:rsidRDefault="00371905">
      <w:pPr>
        <w:ind w:left="271"/>
        <w:jc w:val="both"/>
        <w:rPr>
          <w:sz w:val="23"/>
          <w:lang w:val="da-DK"/>
        </w:rPr>
      </w:pPr>
      <w:r w:rsidRPr="007032F1">
        <w:rPr>
          <w:sz w:val="23"/>
          <w:lang w:val="da-DK"/>
        </w:rPr>
        <w:t>Selskabets navn:</w:t>
      </w:r>
    </w:p>
    <w:p w14:paraId="3FAD419F" w14:textId="77777777" w:rsidR="003A20B2" w:rsidRPr="007032F1" w:rsidRDefault="003A20B2">
      <w:pPr>
        <w:pStyle w:val="Brdtekst"/>
        <w:spacing w:before="9"/>
        <w:rPr>
          <w:sz w:val="23"/>
          <w:lang w:val="da-DK"/>
        </w:rPr>
      </w:pPr>
    </w:p>
    <w:p w14:paraId="3FAD41A0" w14:textId="77777777" w:rsidR="003A20B2" w:rsidRPr="007032F1" w:rsidRDefault="00371905">
      <w:pPr>
        <w:ind w:left="271"/>
        <w:jc w:val="both"/>
        <w:rPr>
          <w:sz w:val="23"/>
          <w:lang w:val="da-DK"/>
        </w:rPr>
      </w:pPr>
      <w:r w:rsidRPr="007032F1">
        <w:rPr>
          <w:sz w:val="23"/>
          <w:lang w:val="da-DK"/>
        </w:rPr>
        <w:t>Selskabets adresse:</w:t>
      </w:r>
    </w:p>
    <w:p w14:paraId="3FAD41A1" w14:textId="77777777" w:rsidR="003A20B2" w:rsidRPr="007032F1" w:rsidRDefault="003A20B2">
      <w:pPr>
        <w:pStyle w:val="Brdtekst"/>
        <w:spacing w:before="8"/>
        <w:rPr>
          <w:sz w:val="23"/>
          <w:lang w:val="da-DK"/>
        </w:rPr>
      </w:pPr>
    </w:p>
    <w:p w14:paraId="3FAD41A2" w14:textId="77777777" w:rsidR="003A20B2" w:rsidRPr="007032F1" w:rsidRDefault="00371905">
      <w:pPr>
        <w:ind w:left="271"/>
        <w:jc w:val="both"/>
        <w:rPr>
          <w:sz w:val="23"/>
          <w:lang w:val="da-DK"/>
        </w:rPr>
      </w:pPr>
      <w:r w:rsidRPr="007032F1">
        <w:rPr>
          <w:sz w:val="23"/>
          <w:lang w:val="da-DK"/>
        </w:rPr>
        <w:t>Selskabets CVR-nummer:</w:t>
      </w:r>
    </w:p>
    <w:p w14:paraId="3FAD41A3" w14:textId="77777777" w:rsidR="003A20B2" w:rsidRPr="007032F1" w:rsidRDefault="003A20B2">
      <w:pPr>
        <w:pStyle w:val="Brdtekst"/>
        <w:rPr>
          <w:sz w:val="26"/>
          <w:lang w:val="da-DK"/>
        </w:rPr>
      </w:pPr>
    </w:p>
    <w:p w14:paraId="3FAD41A4" w14:textId="77777777" w:rsidR="003A20B2" w:rsidRPr="007032F1" w:rsidRDefault="003A20B2">
      <w:pPr>
        <w:pStyle w:val="Brdtekst"/>
        <w:spacing w:before="2"/>
        <w:rPr>
          <w:sz w:val="21"/>
          <w:lang w:val="da-DK"/>
        </w:rPr>
      </w:pPr>
    </w:p>
    <w:p w14:paraId="3FAD41A5" w14:textId="6AE8E5C8" w:rsidR="003A20B2" w:rsidRPr="00F537D1" w:rsidRDefault="00371905">
      <w:pPr>
        <w:spacing w:line="244" w:lineRule="auto"/>
        <w:ind w:left="271" w:right="1346"/>
        <w:jc w:val="both"/>
        <w:rPr>
          <w:b/>
          <w:sz w:val="23"/>
          <w:lang w:val="da-DK"/>
        </w:rPr>
      </w:pPr>
      <w:r w:rsidRPr="007032F1">
        <w:rPr>
          <w:sz w:val="23"/>
          <w:lang w:val="da-DK"/>
        </w:rPr>
        <w:t xml:space="preserve">Den tegningsberettigede ledelse i ovennævnte selskab erklærer herved, at medbestemmelsen i det fortsættende selskab er i overensstemmelse med reglerne i kapitel </w:t>
      </w:r>
      <w:bookmarkStart w:id="0" w:name="_GoBack"/>
      <w:bookmarkEnd w:id="0"/>
      <w:r w:rsidRPr="007032F1">
        <w:rPr>
          <w:sz w:val="23"/>
          <w:lang w:val="da-DK"/>
        </w:rPr>
        <w:t xml:space="preserve">15 a i aktieselskabsloven hhv. </w:t>
      </w:r>
      <w:r w:rsidRPr="00F537D1">
        <w:rPr>
          <w:sz w:val="23"/>
          <w:lang w:val="da-DK"/>
        </w:rPr>
        <w:t>§ 67 d i anpartsselskabsloven,</w:t>
      </w:r>
      <w:r w:rsidRPr="00F537D1">
        <w:rPr>
          <w:spacing w:val="14"/>
          <w:sz w:val="23"/>
          <w:lang w:val="da-DK"/>
        </w:rPr>
        <w:t xml:space="preserve"> </w:t>
      </w:r>
      <w:r w:rsidRPr="00F537D1">
        <w:rPr>
          <w:b/>
          <w:sz w:val="23"/>
          <w:lang w:val="da-DK"/>
        </w:rPr>
        <w:t>idet</w:t>
      </w:r>
    </w:p>
    <w:p w14:paraId="3FAD41A6" w14:textId="77777777" w:rsidR="003A20B2" w:rsidRPr="00F537D1" w:rsidRDefault="003A20B2">
      <w:pPr>
        <w:pStyle w:val="Brdtekst"/>
        <w:spacing w:before="6"/>
        <w:rPr>
          <w:b/>
          <w:sz w:val="15"/>
          <w:lang w:val="da-DK"/>
        </w:rPr>
      </w:pPr>
    </w:p>
    <w:p w14:paraId="3FAD41A7" w14:textId="77777777" w:rsidR="003A20B2" w:rsidRPr="007032F1" w:rsidRDefault="00F537D1" w:rsidP="007032F1">
      <w:pPr>
        <w:spacing w:before="99" w:line="247" w:lineRule="auto"/>
        <w:ind w:left="740" w:right="1345"/>
        <w:jc w:val="both"/>
        <w:rPr>
          <w:sz w:val="23"/>
          <w:lang w:val="da-DK"/>
        </w:rPr>
      </w:pPr>
      <w:r>
        <w:pict w14:anchorId="3FAD41D3">
          <v:group id="_x0000_s1040" style="position:absolute;left:0;text-align:left;margin-left:96.6pt;margin-top:4.55pt;width:18.5pt;height:14.4pt;z-index:1024;mso-position-horizontal-relative:page" coordorigin="1932,91" coordsize="370,288">
            <v:line id="_x0000_s1042" style="position:absolute" from="1942,337" to="2291,337" strokeweight=".20589mm"/>
            <v:shape id="_x0000_s1041" style="position:absolute;left:1936;top:90;width:360;height:288" coordorigin="1937,91" coordsize="360,288" o:spt="100" adj="0,,0" path="m1942,95r350,m1937,91r,288m2297,91r,288m1942,374r350,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371905" w:rsidRPr="007032F1">
        <w:rPr>
          <w:sz w:val="23"/>
          <w:lang w:val="da-DK"/>
        </w:rPr>
        <w:t>medbestemmelsen i det fortsættende selskab er i overensstemmelse med reglerne i aktieselskabslovens § 49, stk. 2, 3. og 4. pkt./ anpartsselskabsloven § 22, stk. 1, når disse regler finder anvendelse, jf. aktieselskabslovens §</w:t>
      </w:r>
      <w:r w:rsidR="00371905" w:rsidRPr="007032F1">
        <w:rPr>
          <w:spacing w:val="14"/>
          <w:sz w:val="23"/>
          <w:lang w:val="da-DK"/>
        </w:rPr>
        <w:t xml:space="preserve"> </w:t>
      </w:r>
      <w:r w:rsidR="00371905" w:rsidRPr="007032F1">
        <w:rPr>
          <w:sz w:val="23"/>
          <w:lang w:val="da-DK"/>
        </w:rPr>
        <w:t>139.</w:t>
      </w:r>
    </w:p>
    <w:p w14:paraId="3FAD41A8" w14:textId="77777777" w:rsidR="003A20B2" w:rsidRPr="007032F1" w:rsidRDefault="003A20B2">
      <w:pPr>
        <w:pStyle w:val="Brdtekst"/>
        <w:spacing w:before="4"/>
        <w:rPr>
          <w:sz w:val="15"/>
          <w:lang w:val="da-DK"/>
        </w:rPr>
      </w:pPr>
    </w:p>
    <w:p w14:paraId="3FAD41A9" w14:textId="77777777" w:rsidR="003A20B2" w:rsidRPr="007032F1" w:rsidRDefault="00F537D1">
      <w:pPr>
        <w:spacing w:before="99"/>
        <w:ind w:left="699"/>
        <w:rPr>
          <w:sz w:val="23"/>
          <w:lang w:val="da-DK"/>
        </w:rPr>
      </w:pPr>
      <w:r>
        <w:pict w14:anchorId="3FAD41D4">
          <v:group id="_x0000_s1036" style="position:absolute;left:0;text-align:left;margin-left:96.6pt;margin-top:4.65pt;width:18.5pt;height:14.3pt;z-index:1048;mso-position-horizontal-relative:page" coordorigin="1932,93" coordsize="370,286">
            <v:line id="_x0000_s1039" style="position:absolute" from="1942,337" to="2291,337" strokeweight=".20589mm"/>
            <v:line id="_x0000_s1038" style="position:absolute" from="1942,96" to="2292,96" strokeweight=".36pt"/>
            <v:shape id="_x0000_s1037" style="position:absolute;left:1936;top:92;width:360;height:286" coordorigin="1937,93" coordsize="360,286" o:spt="100" adj="0,,0" path="m1937,93r,285m2297,93r,285m1942,374r350,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371905" w:rsidRPr="007032F1">
        <w:rPr>
          <w:sz w:val="23"/>
          <w:lang w:val="da-DK"/>
        </w:rPr>
        <w:t xml:space="preserve">der er indgået en aftale mellem ledelsen og </w:t>
      </w:r>
      <w:proofErr w:type="spellStart"/>
      <w:r w:rsidR="00371905" w:rsidRPr="007032F1">
        <w:rPr>
          <w:sz w:val="23"/>
          <w:lang w:val="da-DK"/>
        </w:rPr>
        <w:t>SFO´et</w:t>
      </w:r>
      <w:proofErr w:type="spellEnd"/>
      <w:r w:rsidR="00371905" w:rsidRPr="007032F1">
        <w:rPr>
          <w:sz w:val="23"/>
          <w:lang w:val="da-DK"/>
        </w:rPr>
        <w:t xml:space="preserve"> om medbestemmelse.</w:t>
      </w:r>
    </w:p>
    <w:p w14:paraId="3FAD41AA" w14:textId="77777777" w:rsidR="003A20B2" w:rsidRPr="007032F1" w:rsidRDefault="003A20B2">
      <w:pPr>
        <w:pStyle w:val="Brdtekst"/>
        <w:spacing w:before="9"/>
        <w:rPr>
          <w:sz w:val="16"/>
          <w:lang w:val="da-DK"/>
        </w:rPr>
      </w:pPr>
    </w:p>
    <w:p w14:paraId="3FAD41AB" w14:textId="77777777" w:rsidR="003A20B2" w:rsidRPr="007032F1" w:rsidRDefault="00F537D1">
      <w:pPr>
        <w:spacing w:before="99"/>
        <w:ind w:left="699"/>
        <w:rPr>
          <w:sz w:val="23"/>
          <w:lang w:val="da-DK"/>
        </w:rPr>
      </w:pPr>
      <w:r>
        <w:pict w14:anchorId="3FAD41D5">
          <v:group id="_x0000_s1033" style="position:absolute;left:0;text-align:left;margin-left:96.6pt;margin-top:4.55pt;width:18.5pt;height:14.4pt;z-index:1072;mso-position-horizontal-relative:page" coordorigin="1932,91" coordsize="370,288">
            <v:line id="_x0000_s1035" style="position:absolute" from="1942,337" to="2291,337" strokeweight=".20589mm"/>
            <v:shape id="_x0000_s1034" style="position:absolute;left:1936;top:90;width:360;height:288" coordorigin="1937,91" coordsize="360,288" o:spt="100" adj="0,,0" path="m1942,95r350,m1937,91r,288m2297,91r,288m1942,374r350,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371905" w:rsidRPr="007032F1">
        <w:rPr>
          <w:sz w:val="23"/>
          <w:lang w:val="da-DK"/>
        </w:rPr>
        <w:t>der er truffet beslutning iht. aktieselskabsloven § 139 b, stk. 1, nr. 3.</w:t>
      </w:r>
    </w:p>
    <w:p w14:paraId="3FAD41AC" w14:textId="77777777" w:rsidR="003A20B2" w:rsidRPr="007032F1" w:rsidRDefault="003A20B2">
      <w:pPr>
        <w:pStyle w:val="Brdtekst"/>
        <w:spacing w:before="9"/>
        <w:rPr>
          <w:sz w:val="16"/>
          <w:lang w:val="da-DK"/>
        </w:rPr>
      </w:pPr>
    </w:p>
    <w:p w14:paraId="3FAD41AD" w14:textId="77777777" w:rsidR="003A20B2" w:rsidRPr="007032F1" w:rsidRDefault="00F537D1">
      <w:pPr>
        <w:spacing w:before="99"/>
        <w:ind w:left="699"/>
        <w:rPr>
          <w:sz w:val="23"/>
          <w:lang w:val="da-DK"/>
        </w:rPr>
      </w:pPr>
      <w:r>
        <w:pict w14:anchorId="3FAD41D6">
          <v:group id="_x0000_s1030" style="position:absolute;left:0;text-align:left;margin-left:96.6pt;margin-top:4.65pt;width:18.5pt;height:14.4pt;z-index:1096;mso-position-horizontal-relative:page" coordorigin="1932,93" coordsize="370,288">
            <v:line id="_x0000_s1032" style="position:absolute" from="1942,337" to="2291,337" strokeweight=".20589mm"/>
            <v:shape id="_x0000_s1031" style="position:absolute;left:1936;top:92;width:360;height:288" coordorigin="1937,93" coordsize="360,288" o:spt="100" adj="0,,0" path="m1942,98r350,m1937,93r,288m2297,93r,288m1942,376r350,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371905" w:rsidRPr="007032F1">
        <w:rPr>
          <w:sz w:val="23"/>
          <w:lang w:val="da-DK"/>
        </w:rPr>
        <w:t>der er truffet beslutning iht. aktieselskabsloven § 139 d.</w:t>
      </w:r>
    </w:p>
    <w:p w14:paraId="3FAD41AE" w14:textId="77777777" w:rsidR="003A20B2" w:rsidRPr="007032F1" w:rsidRDefault="003A20B2">
      <w:pPr>
        <w:pStyle w:val="Brdtekst"/>
        <w:spacing w:before="9"/>
        <w:rPr>
          <w:sz w:val="16"/>
          <w:lang w:val="da-DK"/>
        </w:rPr>
      </w:pPr>
    </w:p>
    <w:p w14:paraId="3FAD41AF" w14:textId="77777777" w:rsidR="003A20B2" w:rsidRPr="007032F1" w:rsidRDefault="00F537D1">
      <w:pPr>
        <w:spacing w:before="100"/>
        <w:ind w:left="790"/>
        <w:rPr>
          <w:sz w:val="23"/>
          <w:lang w:val="da-DK"/>
        </w:rPr>
      </w:pPr>
      <w:r>
        <w:pict w14:anchorId="3FAD41D7">
          <v:group id="_x0000_s1026" style="position:absolute;left:0;text-align:left;margin-left:96.6pt;margin-top:4.7pt;width:18.5pt;height:14.3pt;z-index:1120;mso-position-horizontal-relative:page" coordorigin="1932,94" coordsize="370,286">
            <v:line id="_x0000_s1029" style="position:absolute" from="1942,338" to="2291,338" strokeweight=".20589mm"/>
            <v:line id="_x0000_s1028" style="position:absolute" from="1942,98" to="2292,98" strokeweight=".36pt"/>
            <v:shape id="_x0000_s1027" style="position:absolute;left:1936;top:93;width:360;height:286" coordorigin="1937,94" coordsize="360,286" o:spt="100" adj="0,,0" path="m1937,94r,286m2297,94r,286m1942,375r350,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371905" w:rsidRPr="007032F1">
        <w:rPr>
          <w:sz w:val="23"/>
          <w:lang w:val="da-DK"/>
        </w:rPr>
        <w:t>fristen i § 12 i lov om medarbejderindflydelse i SE-selskaber, jf. aktieselskabslovens</w:t>
      </w:r>
    </w:p>
    <w:p w14:paraId="3FAD41B0" w14:textId="77777777" w:rsidR="003A20B2" w:rsidRPr="007032F1" w:rsidRDefault="00371905">
      <w:pPr>
        <w:spacing w:before="11" w:line="244" w:lineRule="auto"/>
        <w:ind w:left="739" w:right="1363"/>
        <w:rPr>
          <w:sz w:val="23"/>
          <w:lang w:val="da-DK"/>
        </w:rPr>
      </w:pPr>
      <w:r w:rsidRPr="007032F1">
        <w:rPr>
          <w:sz w:val="23"/>
          <w:lang w:val="da-DK"/>
        </w:rPr>
        <w:t>§ 139 b, stk. 1, nr. 2, er udløbet, uden at der er indgået nogen aftale og medbestemmelsen er derfor fastlagt i overensstemmelse med § 139 b.</w:t>
      </w:r>
    </w:p>
    <w:p w14:paraId="3FAD41B1" w14:textId="77777777" w:rsidR="003A20B2" w:rsidRPr="007032F1" w:rsidRDefault="003A20B2">
      <w:pPr>
        <w:pStyle w:val="Brdtekst"/>
        <w:spacing w:before="2"/>
        <w:rPr>
          <w:sz w:val="23"/>
          <w:lang w:val="da-DK"/>
        </w:rPr>
      </w:pPr>
    </w:p>
    <w:p w14:paraId="3FAD41B2" w14:textId="77777777" w:rsidR="003A20B2" w:rsidRPr="007032F1" w:rsidRDefault="00371905">
      <w:pPr>
        <w:tabs>
          <w:tab w:val="left" w:pos="5347"/>
        </w:tabs>
        <w:spacing w:before="1"/>
        <w:ind w:left="272"/>
        <w:rPr>
          <w:sz w:val="23"/>
          <w:lang w:val="da-DK"/>
        </w:rPr>
      </w:pPr>
      <w:r w:rsidRPr="007032F1">
        <w:rPr>
          <w:sz w:val="23"/>
          <w:lang w:val="da-DK"/>
        </w:rPr>
        <w:t>Navn:</w:t>
      </w:r>
      <w:r w:rsidRPr="007032F1">
        <w:rPr>
          <w:sz w:val="23"/>
          <w:lang w:val="da-DK"/>
        </w:rPr>
        <w:tab/>
        <w:t>Navn:</w:t>
      </w:r>
    </w:p>
    <w:p w14:paraId="3FAD41B3" w14:textId="77777777" w:rsidR="003A20B2" w:rsidRPr="007032F1" w:rsidRDefault="003A20B2">
      <w:pPr>
        <w:pStyle w:val="Brdtekst"/>
        <w:spacing w:before="8"/>
        <w:rPr>
          <w:sz w:val="23"/>
          <w:lang w:val="da-DK"/>
        </w:rPr>
      </w:pPr>
    </w:p>
    <w:p w14:paraId="3FAD41B4" w14:textId="77777777" w:rsidR="003A20B2" w:rsidRPr="007032F1" w:rsidRDefault="00371905">
      <w:pPr>
        <w:tabs>
          <w:tab w:val="left" w:pos="5347"/>
        </w:tabs>
        <w:ind w:left="272"/>
        <w:rPr>
          <w:sz w:val="23"/>
          <w:lang w:val="da-DK"/>
        </w:rPr>
      </w:pPr>
      <w:r w:rsidRPr="007032F1">
        <w:rPr>
          <w:sz w:val="23"/>
          <w:lang w:val="da-DK"/>
        </w:rPr>
        <w:t>Dato:</w:t>
      </w:r>
      <w:r w:rsidRPr="007032F1">
        <w:rPr>
          <w:sz w:val="23"/>
          <w:lang w:val="da-DK"/>
        </w:rPr>
        <w:tab/>
        <w:t>Dato:</w:t>
      </w:r>
    </w:p>
    <w:p w14:paraId="3FAD41B5" w14:textId="77777777" w:rsidR="003A20B2" w:rsidRPr="007032F1" w:rsidRDefault="003A20B2">
      <w:pPr>
        <w:pStyle w:val="Brdtekst"/>
        <w:rPr>
          <w:sz w:val="26"/>
          <w:lang w:val="da-DK"/>
        </w:rPr>
      </w:pPr>
    </w:p>
    <w:p w14:paraId="3FAD41B6" w14:textId="77777777" w:rsidR="003A20B2" w:rsidRPr="007032F1" w:rsidRDefault="003A20B2">
      <w:pPr>
        <w:pStyle w:val="Brdtekst"/>
        <w:spacing w:before="11"/>
        <w:rPr>
          <w:sz w:val="20"/>
          <w:lang w:val="da-DK"/>
        </w:rPr>
      </w:pPr>
    </w:p>
    <w:p w14:paraId="3FAD41B7" w14:textId="77777777" w:rsidR="003A20B2" w:rsidRPr="007032F1" w:rsidRDefault="00371905">
      <w:pPr>
        <w:tabs>
          <w:tab w:val="left" w:pos="5347"/>
        </w:tabs>
        <w:ind w:left="272"/>
        <w:rPr>
          <w:sz w:val="23"/>
          <w:lang w:val="da-DK"/>
        </w:rPr>
      </w:pPr>
      <w:r w:rsidRPr="007032F1">
        <w:rPr>
          <w:sz w:val="23"/>
          <w:lang w:val="da-DK"/>
        </w:rPr>
        <w:t>Navn:</w:t>
      </w:r>
      <w:r w:rsidRPr="007032F1">
        <w:rPr>
          <w:sz w:val="23"/>
          <w:lang w:val="da-DK"/>
        </w:rPr>
        <w:tab/>
        <w:t>Navn:</w:t>
      </w:r>
    </w:p>
    <w:p w14:paraId="3FAD41B8" w14:textId="77777777" w:rsidR="003A20B2" w:rsidRPr="007032F1" w:rsidRDefault="003A20B2">
      <w:pPr>
        <w:pStyle w:val="Brdtekst"/>
        <w:spacing w:before="8"/>
        <w:rPr>
          <w:sz w:val="23"/>
          <w:lang w:val="da-DK"/>
        </w:rPr>
      </w:pPr>
    </w:p>
    <w:p w14:paraId="3FAD41B9" w14:textId="77777777" w:rsidR="003A20B2" w:rsidRPr="007032F1" w:rsidRDefault="00371905">
      <w:pPr>
        <w:tabs>
          <w:tab w:val="left" w:pos="5347"/>
        </w:tabs>
        <w:ind w:left="272"/>
        <w:rPr>
          <w:sz w:val="23"/>
          <w:lang w:val="da-DK"/>
        </w:rPr>
      </w:pPr>
      <w:r w:rsidRPr="007032F1">
        <w:rPr>
          <w:sz w:val="23"/>
          <w:lang w:val="da-DK"/>
        </w:rPr>
        <w:t>Dato:</w:t>
      </w:r>
      <w:r w:rsidRPr="007032F1">
        <w:rPr>
          <w:sz w:val="23"/>
          <w:lang w:val="da-DK"/>
        </w:rPr>
        <w:tab/>
        <w:t>Dato:</w:t>
      </w:r>
    </w:p>
    <w:p w14:paraId="3FAD41BA" w14:textId="77777777" w:rsidR="003A20B2" w:rsidRPr="007032F1" w:rsidRDefault="003A20B2">
      <w:pPr>
        <w:pStyle w:val="Brdtekst"/>
        <w:rPr>
          <w:sz w:val="26"/>
          <w:lang w:val="da-DK"/>
        </w:rPr>
      </w:pPr>
    </w:p>
    <w:p w14:paraId="3FAD41BB" w14:textId="77777777" w:rsidR="003A20B2" w:rsidRPr="007032F1" w:rsidRDefault="003A20B2">
      <w:pPr>
        <w:pStyle w:val="Brdtekst"/>
        <w:rPr>
          <w:sz w:val="26"/>
          <w:lang w:val="da-DK"/>
        </w:rPr>
      </w:pPr>
    </w:p>
    <w:p w14:paraId="3FAD41BC" w14:textId="77777777" w:rsidR="003A20B2" w:rsidRPr="007032F1" w:rsidRDefault="00371905">
      <w:pPr>
        <w:spacing w:before="218" w:line="244" w:lineRule="auto"/>
        <w:ind w:left="272" w:right="1363"/>
        <w:rPr>
          <w:b/>
          <w:sz w:val="23"/>
          <w:lang w:val="da-DK"/>
        </w:rPr>
      </w:pPr>
      <w:r w:rsidRPr="007032F1">
        <w:rPr>
          <w:b/>
          <w:sz w:val="23"/>
          <w:lang w:val="da-DK"/>
        </w:rPr>
        <w:t>Opmærksomheden henledes på, at afgivelse af urigtige oplysninger kan straffes med bøde eller fængsel indtil 1 år og 6 måneder, jf. straffelovens § 296, stk. 1, nr. 2, d).</w:t>
      </w:r>
    </w:p>
    <w:p w14:paraId="3FAD41BD" w14:textId="77777777" w:rsidR="003A20B2" w:rsidRPr="007032F1" w:rsidRDefault="003A20B2">
      <w:pPr>
        <w:pStyle w:val="Brdtekst"/>
        <w:spacing w:before="5"/>
        <w:rPr>
          <w:b/>
          <w:sz w:val="18"/>
          <w:lang w:val="da-DK"/>
        </w:rPr>
      </w:pPr>
    </w:p>
    <w:p w14:paraId="3FAD41BE" w14:textId="77777777" w:rsidR="003A20B2" w:rsidRPr="007032F1" w:rsidRDefault="00371905">
      <w:pPr>
        <w:spacing w:before="66"/>
        <w:ind w:right="1349"/>
        <w:jc w:val="right"/>
        <w:rPr>
          <w:rFonts w:ascii="Arial"/>
          <w:sz w:val="23"/>
          <w:lang w:val="da-DK"/>
        </w:rPr>
      </w:pPr>
      <w:r w:rsidRPr="007032F1">
        <w:rPr>
          <w:rFonts w:ascii="Arial"/>
          <w:sz w:val="23"/>
          <w:lang w:val="da-DK"/>
        </w:rPr>
        <w:t>43</w:t>
      </w:r>
    </w:p>
    <w:p w14:paraId="3FAD41BF" w14:textId="77777777" w:rsidR="003A20B2" w:rsidRPr="007032F1" w:rsidRDefault="003A20B2">
      <w:pPr>
        <w:jc w:val="right"/>
        <w:rPr>
          <w:rFonts w:ascii="Arial"/>
          <w:sz w:val="23"/>
          <w:lang w:val="da-DK"/>
        </w:rPr>
        <w:sectPr w:rsidR="003A20B2" w:rsidRPr="007032F1">
          <w:type w:val="continuous"/>
          <w:pgSz w:w="11900" w:h="16840"/>
          <w:pgMar w:top="1600" w:right="20" w:bottom="280" w:left="1660" w:header="708" w:footer="708" w:gutter="0"/>
          <w:cols w:space="708"/>
        </w:sectPr>
      </w:pPr>
    </w:p>
    <w:p w14:paraId="3FAD41C0" w14:textId="77777777" w:rsidR="003A20B2" w:rsidRPr="007032F1" w:rsidRDefault="00371905">
      <w:pPr>
        <w:pStyle w:val="Overskrift2"/>
        <w:spacing w:before="41"/>
        <w:rPr>
          <w:lang w:val="da-DK"/>
        </w:rPr>
      </w:pPr>
      <w:r w:rsidRPr="007032F1">
        <w:rPr>
          <w:lang w:val="da-DK"/>
        </w:rPr>
        <w:lastRenderedPageBreak/>
        <w:t>VEJLEDNING til erklæring om medarbejdermedbestemmelse</w:t>
      </w:r>
    </w:p>
    <w:p w14:paraId="3FAD41C1" w14:textId="77777777" w:rsidR="003A20B2" w:rsidRPr="007032F1" w:rsidRDefault="00371905">
      <w:pPr>
        <w:pStyle w:val="Brdtekst"/>
        <w:spacing w:before="173" w:line="208" w:lineRule="auto"/>
        <w:ind w:left="118"/>
        <w:rPr>
          <w:lang w:val="da-DK"/>
        </w:rPr>
      </w:pPr>
      <w:r w:rsidRPr="007032F1">
        <w:rPr>
          <w:lang w:val="da-DK"/>
        </w:rPr>
        <w:t>Ved grænseoverskridende fusion eller spaltning skal der, hvis det fortsættende selskab (ved fusion) eller det modtagende selskab (ved spaltning) skal have hjemsted i Danmark, indsendes en erklæring fra ledelsen i det fortsættende/modtagende selskab om at medbestemmelsen i det fortsættende/modtagende selskab er i overensstemmelse med reglerne i kapitel 15 a i aktieselskabsloven hhv. § 67 d i anpartsselskabsloven. Se anmeldelsesbekendtgørelsen § 12, stk. 1, nr. 4).</w:t>
      </w:r>
    </w:p>
    <w:p w14:paraId="3FAD41C2" w14:textId="1888FC94" w:rsidR="003A20B2" w:rsidRPr="007032F1" w:rsidRDefault="00371905">
      <w:pPr>
        <w:pStyle w:val="Brdtekst"/>
        <w:spacing w:before="185" w:line="204" w:lineRule="auto"/>
        <w:ind w:left="118" w:right="302"/>
        <w:rPr>
          <w:lang w:val="da-DK"/>
        </w:rPr>
      </w:pPr>
      <w:r w:rsidRPr="007032F1">
        <w:rPr>
          <w:lang w:val="da-DK"/>
        </w:rPr>
        <w:t xml:space="preserve">Hvis det fortsættende selskab skal have hjemsted i </w:t>
      </w:r>
      <w:r w:rsidRPr="007032F1">
        <w:rPr>
          <w:b/>
          <w:lang w:val="da-DK"/>
        </w:rPr>
        <w:t xml:space="preserve">et andet </w:t>
      </w:r>
      <w:proofErr w:type="gramStart"/>
      <w:r w:rsidRPr="007032F1">
        <w:rPr>
          <w:b/>
          <w:lang w:val="da-DK"/>
        </w:rPr>
        <w:t>EU/EØS land</w:t>
      </w:r>
      <w:proofErr w:type="gramEnd"/>
      <w:r w:rsidRPr="007032F1">
        <w:rPr>
          <w:b/>
          <w:lang w:val="da-DK"/>
        </w:rPr>
        <w:t xml:space="preserve"> </w:t>
      </w:r>
      <w:r w:rsidRPr="007032F1">
        <w:rPr>
          <w:lang w:val="da-DK"/>
        </w:rPr>
        <w:t xml:space="preserve">end Danmark, kan nærværende forslag til erklæring </w:t>
      </w:r>
      <w:r w:rsidRPr="007032F1">
        <w:rPr>
          <w:b/>
          <w:lang w:val="da-DK"/>
        </w:rPr>
        <w:t xml:space="preserve">ikke </w:t>
      </w:r>
      <w:r w:rsidRPr="007032F1">
        <w:rPr>
          <w:lang w:val="da-DK"/>
        </w:rPr>
        <w:t>anvendes. I den situation skal ledelsen i det udenlandske fortsættende selskab</w:t>
      </w:r>
      <w:r w:rsidR="008A0AFE">
        <w:rPr>
          <w:lang w:val="da-DK"/>
        </w:rPr>
        <w:t xml:space="preserve"> </w:t>
      </w:r>
      <w:r w:rsidRPr="007032F1">
        <w:rPr>
          <w:lang w:val="da-DK"/>
        </w:rPr>
        <w:t>erklære, at medbestemmelsen i det fortsættende selskab er i overensstemmelse med principperne i direktivet om grænseoverskridende fusion af selskaber med begrænset ansvar</w:t>
      </w:r>
      <w:r w:rsidRPr="007032F1">
        <w:rPr>
          <w:spacing w:val="-11"/>
          <w:lang w:val="da-DK"/>
        </w:rPr>
        <w:t xml:space="preserve"> </w:t>
      </w:r>
      <w:r w:rsidRPr="007032F1">
        <w:rPr>
          <w:lang w:val="da-DK"/>
        </w:rPr>
        <w:t>(2005/56/EF).</w:t>
      </w:r>
    </w:p>
    <w:p w14:paraId="3FAD41C3" w14:textId="77777777" w:rsidR="003A20B2" w:rsidRPr="007032F1" w:rsidRDefault="00371905">
      <w:pPr>
        <w:pStyle w:val="Brdtekst"/>
        <w:spacing w:before="180" w:line="208" w:lineRule="auto"/>
        <w:ind w:left="118" w:right="302"/>
        <w:rPr>
          <w:lang w:val="da-DK"/>
        </w:rPr>
      </w:pPr>
      <w:r w:rsidRPr="007032F1">
        <w:rPr>
          <w:lang w:val="da-DK"/>
        </w:rPr>
        <w:t>Der er ingen formkrav til erklæringen, og denne skabelon er derfor blot et forslag til udformning af erklæringen. Ledelsen kan vælge at udforme erklæringen på anden måde.</w:t>
      </w:r>
    </w:p>
    <w:p w14:paraId="3FAD41C4" w14:textId="77777777" w:rsidR="003A20B2" w:rsidRPr="007032F1" w:rsidRDefault="00371905">
      <w:pPr>
        <w:pStyle w:val="Brdtekst"/>
        <w:spacing w:before="181" w:line="208" w:lineRule="auto"/>
        <w:ind w:left="118" w:right="287"/>
        <w:jc w:val="both"/>
        <w:rPr>
          <w:lang w:val="da-DK"/>
        </w:rPr>
      </w:pPr>
      <w:r w:rsidRPr="007032F1">
        <w:rPr>
          <w:lang w:val="da-DK"/>
        </w:rPr>
        <w:t>Medbestemmelsen i det fortsættende selskab efter en grænseoverskridende fusion eller spaltning kan følge to forskellige regelsæt: enten de ”almindelige regler” om medbestemmelse, jf. aktieselskabsloven § 49 stk. 2, 3, og 4. pkt./anpartsselskabsloven § 22, stk.1, eller de såkaldte SE-regler om medbestemmelse, jf. aktieselskabslovens § 139 a/ jf. anpartsselskabslovens § 67 d.</w:t>
      </w:r>
    </w:p>
    <w:p w14:paraId="3FAD41C5" w14:textId="77777777" w:rsidR="003A20B2" w:rsidRPr="007032F1" w:rsidRDefault="00371905">
      <w:pPr>
        <w:pStyle w:val="Brdtekst"/>
        <w:spacing w:before="178" w:line="208" w:lineRule="auto"/>
        <w:ind w:left="118"/>
        <w:rPr>
          <w:lang w:val="da-DK"/>
        </w:rPr>
      </w:pPr>
      <w:r w:rsidRPr="007032F1">
        <w:rPr>
          <w:lang w:val="da-DK"/>
        </w:rPr>
        <w:t>At medbestemmelsen i selskabet er i overensstemmelse med reglerne om medbestemmelse i forbindelse med grænseoverskridende fusioner/spaltninger indebærer, at enten aktieselskabslovens § 49, stk. 2, 3. og 4.</w:t>
      </w:r>
    </w:p>
    <w:p w14:paraId="2CCEA498" w14:textId="77777777" w:rsidR="00371905" w:rsidRDefault="00371905">
      <w:pPr>
        <w:pStyle w:val="Brdtekst"/>
        <w:spacing w:before="117" w:line="124" w:lineRule="auto"/>
        <w:ind w:left="118"/>
        <w:rPr>
          <w:lang w:val="da-DK"/>
        </w:rPr>
      </w:pPr>
      <w:r w:rsidRPr="007032F1">
        <w:rPr>
          <w:lang w:val="da-DK"/>
        </w:rPr>
        <w:t xml:space="preserve">pkt./anpartsselskabsloven § 22, stk. 1 </w:t>
      </w:r>
      <w:r w:rsidRPr="007032F1">
        <w:rPr>
          <w:b/>
          <w:i/>
          <w:lang w:val="da-DK"/>
        </w:rPr>
        <w:t xml:space="preserve">eller </w:t>
      </w:r>
      <w:r w:rsidRPr="007032F1">
        <w:rPr>
          <w:lang w:val="da-DK"/>
        </w:rPr>
        <w:t>SE-reglerne om medbestemmelse anvendes. Er medbestemmelsen</w:t>
      </w:r>
    </w:p>
    <w:p w14:paraId="3FAD41C6" w14:textId="78319174" w:rsidR="003A20B2" w:rsidRPr="007032F1" w:rsidRDefault="00371905">
      <w:pPr>
        <w:pStyle w:val="Brdtekst"/>
        <w:spacing w:before="117" w:line="124" w:lineRule="auto"/>
        <w:ind w:left="118"/>
        <w:rPr>
          <w:lang w:val="da-DK"/>
        </w:rPr>
      </w:pPr>
      <w:r w:rsidRPr="007032F1">
        <w:rPr>
          <w:lang w:val="da-DK"/>
        </w:rPr>
        <w:t>fastlagt ved anvendelse af SE-reglerne om medbestemmelse, kan udfaldet blive ét af de under 2.)</w:t>
      </w:r>
      <w:r w:rsidR="00A84FDF">
        <w:rPr>
          <w:lang w:val="da-DK"/>
        </w:rPr>
        <w:t xml:space="preserve"> </w:t>
      </w:r>
      <w:r w:rsidRPr="007032F1">
        <w:rPr>
          <w:lang w:val="da-DK"/>
        </w:rPr>
        <w:t>-5) anførte</w:t>
      </w:r>
    </w:p>
    <w:p w14:paraId="3FAD41C7" w14:textId="77777777" w:rsidR="003A20B2" w:rsidRPr="007032F1" w:rsidRDefault="00371905">
      <w:pPr>
        <w:pStyle w:val="Brdtekst"/>
        <w:spacing w:line="243" w:lineRule="exact"/>
        <w:ind w:left="118"/>
        <w:rPr>
          <w:lang w:val="da-DK"/>
        </w:rPr>
      </w:pPr>
      <w:r w:rsidRPr="007032F1">
        <w:rPr>
          <w:lang w:val="da-DK"/>
        </w:rPr>
        <w:t>resultater. I det følgende beskrives de 5 muligheder for fastlæggelse af medbestemmelse.</w:t>
      </w:r>
    </w:p>
    <w:p w14:paraId="3FAD41C8" w14:textId="77777777" w:rsidR="003A20B2" w:rsidRPr="007032F1" w:rsidRDefault="00371905">
      <w:pPr>
        <w:pStyle w:val="Overskrift2"/>
        <w:spacing w:before="147"/>
        <w:rPr>
          <w:lang w:val="da-DK"/>
        </w:rPr>
      </w:pPr>
      <w:r w:rsidRPr="007032F1">
        <w:rPr>
          <w:lang w:val="da-DK"/>
        </w:rPr>
        <w:t>OBS! Der skal kun sættes ét kryds i erklæringen!</w:t>
      </w:r>
    </w:p>
    <w:p w14:paraId="3FAD41C9" w14:textId="77777777" w:rsidR="003A20B2" w:rsidRPr="007032F1" w:rsidRDefault="00371905">
      <w:pPr>
        <w:pStyle w:val="Listeafsnit"/>
        <w:numPr>
          <w:ilvl w:val="0"/>
          <w:numId w:val="1"/>
        </w:numPr>
        <w:tabs>
          <w:tab w:val="left" w:pos="371"/>
        </w:tabs>
        <w:spacing w:before="185" w:line="194" w:lineRule="auto"/>
        <w:ind w:right="303" w:firstLine="0"/>
        <w:rPr>
          <w:b/>
          <w:lang w:val="da-DK"/>
        </w:rPr>
      </w:pPr>
      <w:r w:rsidRPr="007032F1">
        <w:rPr>
          <w:b/>
          <w:lang w:val="da-DK"/>
        </w:rPr>
        <w:t>Medbestemmelsen er i overensstemmelse med reglerne i aktieselskabslovens § 49, stk. 2, 3. og 4. pkt. hhv. anpartsselskabsloven § 22, stk.</w:t>
      </w:r>
      <w:r w:rsidRPr="007032F1">
        <w:rPr>
          <w:b/>
          <w:spacing w:val="4"/>
          <w:lang w:val="da-DK"/>
        </w:rPr>
        <w:t xml:space="preserve"> </w:t>
      </w:r>
      <w:r w:rsidRPr="007032F1">
        <w:rPr>
          <w:b/>
          <w:lang w:val="da-DK"/>
        </w:rPr>
        <w:t>1</w:t>
      </w:r>
    </w:p>
    <w:p w14:paraId="3FAD41CA" w14:textId="77777777" w:rsidR="003A20B2" w:rsidRPr="007032F1" w:rsidRDefault="00371905">
      <w:pPr>
        <w:pStyle w:val="Brdtekst"/>
        <w:spacing w:before="184" w:line="208" w:lineRule="auto"/>
        <w:ind w:left="118" w:right="223"/>
        <w:rPr>
          <w:lang w:val="da-DK"/>
        </w:rPr>
      </w:pPr>
      <w:r w:rsidRPr="007032F1">
        <w:rPr>
          <w:lang w:val="da-DK"/>
        </w:rPr>
        <w:t>Der er tale om den situation, hvor § 49, stk. 2, 3. og 4. pkt. hhv. anpartsselskabsloven § 22, stk. 1, dvs. reglerne om medarbejderrepræsentation i bestyrelsen, finder anvendelse. Se mere om anvendelsen af hhv. de ”almindelige regler” og SE-reglerne om medbestemmelse i vejledningen om medarbejderes medbestemmelse i forbindelse med grænseoverskridende fusioner og spaltninger afsnit 2.1.2.</w:t>
      </w:r>
    </w:p>
    <w:p w14:paraId="3FAD41CB" w14:textId="77777777" w:rsidR="003A20B2" w:rsidRDefault="00371905">
      <w:pPr>
        <w:pStyle w:val="Overskrift2"/>
        <w:numPr>
          <w:ilvl w:val="0"/>
          <w:numId w:val="1"/>
        </w:numPr>
        <w:tabs>
          <w:tab w:val="left" w:pos="357"/>
        </w:tabs>
        <w:ind w:left="356" w:hanging="238"/>
      </w:pPr>
      <w:proofErr w:type="spellStart"/>
      <w:r>
        <w:t>Aftale</w:t>
      </w:r>
      <w:proofErr w:type="spellEnd"/>
      <w:r>
        <w:t xml:space="preserve"> om</w:t>
      </w:r>
      <w:r>
        <w:rPr>
          <w:spacing w:val="-2"/>
        </w:rPr>
        <w:t xml:space="preserve"> </w:t>
      </w:r>
      <w:proofErr w:type="spellStart"/>
      <w:r>
        <w:t>medbestemmelse</w:t>
      </w:r>
      <w:proofErr w:type="spellEnd"/>
    </w:p>
    <w:p w14:paraId="3FAD41CC" w14:textId="67210109" w:rsidR="003A20B2" w:rsidRDefault="00371905">
      <w:pPr>
        <w:pStyle w:val="Brdtekst"/>
        <w:spacing w:before="174" w:line="208" w:lineRule="auto"/>
        <w:ind w:left="118" w:right="223"/>
        <w:rPr>
          <w:sz w:val="24"/>
        </w:rPr>
      </w:pPr>
      <w:r w:rsidRPr="007032F1">
        <w:rPr>
          <w:lang w:val="da-DK"/>
        </w:rPr>
        <w:t xml:space="preserve">Der er tale om den situation, hvor der indgås en aftale mellem ledelsen og </w:t>
      </w:r>
      <w:proofErr w:type="spellStart"/>
      <w:r w:rsidRPr="007032F1">
        <w:rPr>
          <w:lang w:val="da-DK"/>
        </w:rPr>
        <w:t>SFO’et</w:t>
      </w:r>
      <w:proofErr w:type="spellEnd"/>
      <w:r w:rsidRPr="007032F1">
        <w:rPr>
          <w:lang w:val="da-DK"/>
        </w:rPr>
        <w:t xml:space="preserve"> om medarbejdernes medbestemmelse i det fortsættende selskab. Indholdet af en sådan aftale kan enten være en konkret ordning om medbestemmelse, eller en aftale om, at de såkaldte referencebestemmelser (§ 33, stk. 2, § 34 og §§ 36-40 i lov om medarbejderindflydelse i SE-selskaber) skal anvendes. Se mere om indholdet af en aftale mellem ledelsen og </w:t>
      </w:r>
      <w:proofErr w:type="spellStart"/>
      <w:r w:rsidRPr="007032F1">
        <w:rPr>
          <w:lang w:val="da-DK"/>
        </w:rPr>
        <w:t>SFO’et</w:t>
      </w:r>
      <w:proofErr w:type="spellEnd"/>
      <w:r w:rsidRPr="007032F1">
        <w:rPr>
          <w:lang w:val="da-DK"/>
        </w:rPr>
        <w:t xml:space="preserve"> i vejledningen om medarbejderes medbestemmelse i forbindelse med grænseoverskridende fusioner og spaltninger del II, A, 4.3.4. Se mere om aftalt anvendelse af referencebestemmelserne i vejledningen om medarbejderes medbestemmelse i forbindelse med grænseoverskridende fusioner og spaltninger </w:t>
      </w:r>
      <w:r w:rsidRPr="007032F1">
        <w:rPr>
          <w:spacing w:val="8"/>
          <w:sz w:val="24"/>
          <w:lang w:val="da-DK"/>
        </w:rPr>
        <w:t xml:space="preserve">afsnit </w:t>
      </w:r>
      <w:r w:rsidRPr="007032F1">
        <w:rPr>
          <w:spacing w:val="5"/>
          <w:sz w:val="24"/>
          <w:lang w:val="da-DK"/>
        </w:rPr>
        <w:t xml:space="preserve">2. </w:t>
      </w:r>
      <w:r>
        <w:rPr>
          <w:spacing w:val="4"/>
          <w:sz w:val="24"/>
        </w:rPr>
        <w:t>1.5.1.2.</w:t>
      </w:r>
    </w:p>
    <w:p w14:paraId="3FAD41CD" w14:textId="77777777" w:rsidR="003A20B2" w:rsidRPr="007032F1" w:rsidRDefault="00371905">
      <w:pPr>
        <w:pStyle w:val="Overskrift2"/>
        <w:numPr>
          <w:ilvl w:val="0"/>
          <w:numId w:val="1"/>
        </w:numPr>
        <w:tabs>
          <w:tab w:val="left" w:pos="357"/>
        </w:tabs>
        <w:spacing w:before="151"/>
        <w:ind w:left="356" w:hanging="238"/>
        <w:rPr>
          <w:lang w:val="da-DK"/>
        </w:rPr>
      </w:pPr>
      <w:r w:rsidRPr="007032F1">
        <w:rPr>
          <w:lang w:val="da-DK"/>
        </w:rPr>
        <w:t>Beslutning iht. aktieselskabsloven § 139 b, stk. 1, nr.</w:t>
      </w:r>
      <w:r w:rsidRPr="007032F1">
        <w:rPr>
          <w:spacing w:val="4"/>
          <w:lang w:val="da-DK"/>
        </w:rPr>
        <w:t xml:space="preserve"> </w:t>
      </w:r>
      <w:r w:rsidRPr="007032F1">
        <w:rPr>
          <w:lang w:val="da-DK"/>
        </w:rPr>
        <w:t>3</w:t>
      </w:r>
    </w:p>
    <w:p w14:paraId="3FAD41CE" w14:textId="12E72507" w:rsidR="003A20B2" w:rsidRPr="007032F1" w:rsidRDefault="00371905">
      <w:pPr>
        <w:pStyle w:val="Brdtekst"/>
        <w:spacing w:before="175" w:line="208" w:lineRule="auto"/>
        <w:ind w:left="118" w:right="107"/>
        <w:jc w:val="both"/>
        <w:rPr>
          <w:sz w:val="24"/>
          <w:lang w:val="da-DK"/>
        </w:rPr>
      </w:pPr>
      <w:r w:rsidRPr="007032F1">
        <w:rPr>
          <w:lang w:val="da-DK"/>
        </w:rPr>
        <w:t xml:space="preserve">Der er tale om den situation, hvor de deltagende selskabers kompetente organer (ledelserne) har besluttet at anvende referencebestemmelserne uden forudgående forhandling med </w:t>
      </w:r>
      <w:proofErr w:type="spellStart"/>
      <w:r w:rsidRPr="007032F1">
        <w:rPr>
          <w:lang w:val="da-DK"/>
        </w:rPr>
        <w:t>SFO´et</w:t>
      </w:r>
      <w:proofErr w:type="spellEnd"/>
      <w:r w:rsidRPr="007032F1">
        <w:rPr>
          <w:lang w:val="da-DK"/>
        </w:rPr>
        <w:t xml:space="preserve">. Se nærmere om denne situation i vejledningen om medarbejderes medbestemmelse i forbindelse med grænseoverskridende fusioner og spaltninger </w:t>
      </w:r>
      <w:r w:rsidRPr="007032F1">
        <w:rPr>
          <w:sz w:val="24"/>
          <w:lang w:val="da-DK"/>
        </w:rPr>
        <w:t>afsnit</w:t>
      </w:r>
      <w:r w:rsidRPr="007032F1">
        <w:rPr>
          <w:spacing w:val="2"/>
          <w:sz w:val="24"/>
          <w:lang w:val="da-DK"/>
        </w:rPr>
        <w:t xml:space="preserve"> </w:t>
      </w:r>
      <w:r w:rsidRPr="007032F1">
        <w:rPr>
          <w:sz w:val="24"/>
          <w:lang w:val="da-DK"/>
        </w:rPr>
        <w:t>2.1.5.1.1.</w:t>
      </w:r>
    </w:p>
    <w:p w14:paraId="3FAD41CF" w14:textId="77777777" w:rsidR="003A20B2" w:rsidRDefault="00371905">
      <w:pPr>
        <w:pStyle w:val="Overskrift2"/>
        <w:numPr>
          <w:ilvl w:val="0"/>
          <w:numId w:val="1"/>
        </w:numPr>
        <w:tabs>
          <w:tab w:val="left" w:pos="357"/>
        </w:tabs>
        <w:ind w:left="356" w:hanging="238"/>
      </w:pPr>
      <w:proofErr w:type="spellStart"/>
      <w:r>
        <w:t>Beslutning</w:t>
      </w:r>
      <w:proofErr w:type="spellEnd"/>
      <w:r>
        <w:t xml:space="preserve"> </w:t>
      </w:r>
      <w:proofErr w:type="spellStart"/>
      <w:r>
        <w:t>iht</w:t>
      </w:r>
      <w:proofErr w:type="spellEnd"/>
      <w:r>
        <w:t xml:space="preserve">. </w:t>
      </w:r>
      <w:proofErr w:type="spellStart"/>
      <w:r>
        <w:t>aktieselskabsloven</w:t>
      </w:r>
      <w:proofErr w:type="spellEnd"/>
      <w:r>
        <w:t xml:space="preserve"> § 139</w:t>
      </w:r>
      <w:r>
        <w:rPr>
          <w:spacing w:val="-4"/>
        </w:rPr>
        <w:t xml:space="preserve"> </w:t>
      </w:r>
      <w:r>
        <w:t>d</w:t>
      </w:r>
    </w:p>
    <w:p w14:paraId="3FAD41D0" w14:textId="03C25DC4" w:rsidR="003A20B2" w:rsidRPr="007032F1" w:rsidRDefault="00371905">
      <w:pPr>
        <w:pStyle w:val="Brdtekst"/>
        <w:spacing w:before="173" w:line="208" w:lineRule="auto"/>
        <w:ind w:left="118" w:right="107"/>
        <w:jc w:val="both"/>
        <w:rPr>
          <w:lang w:val="da-DK"/>
        </w:rPr>
      </w:pPr>
      <w:r w:rsidRPr="007032F1">
        <w:rPr>
          <w:lang w:val="da-DK"/>
        </w:rPr>
        <w:t xml:space="preserve">Det er tale om den situation, hvor </w:t>
      </w:r>
      <w:proofErr w:type="spellStart"/>
      <w:r w:rsidRPr="007032F1">
        <w:rPr>
          <w:lang w:val="da-DK"/>
        </w:rPr>
        <w:t>SFO´et</w:t>
      </w:r>
      <w:proofErr w:type="spellEnd"/>
      <w:r w:rsidRPr="007032F1">
        <w:rPr>
          <w:lang w:val="da-DK"/>
        </w:rPr>
        <w:t xml:space="preserve"> har besluttet ikke at indlede forhandlinger med ledelserne i de deltagende selskaber, eller hvor </w:t>
      </w:r>
      <w:proofErr w:type="spellStart"/>
      <w:r w:rsidRPr="007032F1">
        <w:rPr>
          <w:lang w:val="da-DK"/>
        </w:rPr>
        <w:t>SFO´et</w:t>
      </w:r>
      <w:proofErr w:type="spellEnd"/>
      <w:r w:rsidRPr="007032F1">
        <w:rPr>
          <w:lang w:val="da-DK"/>
        </w:rPr>
        <w:t xml:space="preserve"> har afbrudt forhandlingerne for i stedet at anvende de ”almindelige regler” om medbestemmelse i aktieselskabsloven § 49, stk. 2, 3.pkt. og 4.pkt. Se nærmere om denne situation i </w:t>
      </w:r>
      <w:r w:rsidRPr="007032F1">
        <w:rPr>
          <w:spacing w:val="-3"/>
          <w:lang w:val="da-DK"/>
        </w:rPr>
        <w:t xml:space="preserve">vejledningen </w:t>
      </w:r>
      <w:r w:rsidRPr="007032F1">
        <w:rPr>
          <w:lang w:val="da-DK"/>
        </w:rPr>
        <w:t xml:space="preserve">om </w:t>
      </w:r>
      <w:r w:rsidRPr="007032F1">
        <w:rPr>
          <w:spacing w:val="-3"/>
          <w:lang w:val="da-DK"/>
        </w:rPr>
        <w:t xml:space="preserve">medarbejderes medbestemmelse </w:t>
      </w:r>
      <w:r w:rsidRPr="007032F1">
        <w:rPr>
          <w:lang w:val="da-DK"/>
        </w:rPr>
        <w:t>i forbindelse med grænseoverskridende fusioner og spaltninger afsnit</w:t>
      </w:r>
      <w:r w:rsidRPr="007032F1">
        <w:rPr>
          <w:spacing w:val="2"/>
          <w:lang w:val="da-DK"/>
        </w:rPr>
        <w:t xml:space="preserve"> </w:t>
      </w:r>
      <w:r w:rsidRPr="007032F1">
        <w:rPr>
          <w:lang w:val="da-DK"/>
        </w:rPr>
        <w:t>2.1.4.3.6.</w:t>
      </w:r>
    </w:p>
    <w:p w14:paraId="3FAD41D1" w14:textId="77777777" w:rsidR="003A20B2" w:rsidRPr="007032F1" w:rsidRDefault="00371905">
      <w:pPr>
        <w:pStyle w:val="Overskrift2"/>
        <w:numPr>
          <w:ilvl w:val="0"/>
          <w:numId w:val="1"/>
        </w:numPr>
        <w:tabs>
          <w:tab w:val="left" w:pos="376"/>
        </w:tabs>
        <w:spacing w:before="195" w:line="192" w:lineRule="auto"/>
        <w:ind w:right="294" w:firstLine="0"/>
        <w:rPr>
          <w:lang w:val="da-DK"/>
        </w:rPr>
      </w:pPr>
      <w:r w:rsidRPr="007032F1">
        <w:rPr>
          <w:lang w:val="da-DK"/>
        </w:rPr>
        <w:t xml:space="preserve">Fristen i § 12 i lov om medarbejderindflydelse i SE-selskaber </w:t>
      </w:r>
      <w:proofErr w:type="spellStart"/>
      <w:r w:rsidRPr="007032F1">
        <w:rPr>
          <w:lang w:val="da-DK"/>
        </w:rPr>
        <w:t>jf</w:t>
      </w:r>
      <w:proofErr w:type="spellEnd"/>
      <w:r w:rsidRPr="007032F1">
        <w:rPr>
          <w:lang w:val="da-DK"/>
        </w:rPr>
        <w:t>, aktieselskabslovens § 139 b, stk. 1, nr. 2, er udløbet, uden at der er indgået nogen</w:t>
      </w:r>
      <w:r w:rsidRPr="007032F1">
        <w:rPr>
          <w:spacing w:val="-6"/>
          <w:lang w:val="da-DK"/>
        </w:rPr>
        <w:t xml:space="preserve"> </w:t>
      </w:r>
      <w:r w:rsidRPr="007032F1">
        <w:rPr>
          <w:lang w:val="da-DK"/>
        </w:rPr>
        <w:t>aftale</w:t>
      </w:r>
    </w:p>
    <w:p w14:paraId="3FAD41D2" w14:textId="77777777" w:rsidR="003A20B2" w:rsidRPr="007032F1" w:rsidRDefault="00371905">
      <w:pPr>
        <w:spacing w:before="180" w:line="196" w:lineRule="auto"/>
        <w:ind w:left="118" w:right="108"/>
        <w:jc w:val="both"/>
        <w:rPr>
          <w:sz w:val="24"/>
          <w:lang w:val="da-DK"/>
        </w:rPr>
      </w:pPr>
      <w:r w:rsidRPr="007032F1">
        <w:rPr>
          <w:sz w:val="24"/>
          <w:lang w:val="da-DK"/>
        </w:rPr>
        <w:t xml:space="preserve">Der er tale om den situation, hvor forhandlingerne mellem ledelserne og </w:t>
      </w:r>
      <w:proofErr w:type="spellStart"/>
      <w:r w:rsidRPr="007032F1">
        <w:rPr>
          <w:sz w:val="24"/>
          <w:lang w:val="da-DK"/>
        </w:rPr>
        <w:t>SFO´et</w:t>
      </w:r>
      <w:proofErr w:type="spellEnd"/>
      <w:r w:rsidRPr="007032F1">
        <w:rPr>
          <w:sz w:val="24"/>
          <w:lang w:val="da-DK"/>
        </w:rPr>
        <w:t xml:space="preserve"> i løbet af 6 måneder (evt. forlænget i op til 1 år) ikke har ført til, at der er indgået aftale om medbestemmelse. I så fald anvendes referencebestemmelserne som udgangspunkt. Se nærmere i vejledningen om medarbejderes medbestemmelse i forbindelse med grænseoverskridende fusioner og spaltninger afsnt2.1.5.1.3.</w:t>
      </w:r>
    </w:p>
    <w:sectPr w:rsidR="003A20B2" w:rsidRPr="007032F1">
      <w:pgSz w:w="11900" w:h="16840"/>
      <w:pgMar w:top="960" w:right="2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923A7"/>
    <w:multiLevelType w:val="hybridMultilevel"/>
    <w:tmpl w:val="C71626CE"/>
    <w:lvl w:ilvl="0" w:tplc="250C7EB2">
      <w:start w:val="1"/>
      <w:numFmt w:val="decimal"/>
      <w:lvlText w:val="%1)"/>
      <w:lvlJc w:val="left"/>
      <w:pPr>
        <w:ind w:left="118" w:hanging="2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15AF4C8">
      <w:numFmt w:val="bullet"/>
      <w:lvlText w:val="•"/>
      <w:lvlJc w:val="left"/>
      <w:pPr>
        <w:ind w:left="1130" w:hanging="253"/>
      </w:pPr>
      <w:rPr>
        <w:rFonts w:hint="default"/>
      </w:rPr>
    </w:lvl>
    <w:lvl w:ilvl="2" w:tplc="5806555A">
      <w:numFmt w:val="bullet"/>
      <w:lvlText w:val="•"/>
      <w:lvlJc w:val="left"/>
      <w:pPr>
        <w:ind w:left="2140" w:hanging="253"/>
      </w:pPr>
      <w:rPr>
        <w:rFonts w:hint="default"/>
      </w:rPr>
    </w:lvl>
    <w:lvl w:ilvl="3" w:tplc="E9CE2280">
      <w:numFmt w:val="bullet"/>
      <w:lvlText w:val="•"/>
      <w:lvlJc w:val="left"/>
      <w:pPr>
        <w:ind w:left="3150" w:hanging="253"/>
      </w:pPr>
      <w:rPr>
        <w:rFonts w:hint="default"/>
      </w:rPr>
    </w:lvl>
    <w:lvl w:ilvl="4" w:tplc="03E4A4A8">
      <w:numFmt w:val="bullet"/>
      <w:lvlText w:val="•"/>
      <w:lvlJc w:val="left"/>
      <w:pPr>
        <w:ind w:left="4160" w:hanging="253"/>
      </w:pPr>
      <w:rPr>
        <w:rFonts w:hint="default"/>
      </w:rPr>
    </w:lvl>
    <w:lvl w:ilvl="5" w:tplc="6A861EC8">
      <w:numFmt w:val="bullet"/>
      <w:lvlText w:val="•"/>
      <w:lvlJc w:val="left"/>
      <w:pPr>
        <w:ind w:left="5170" w:hanging="253"/>
      </w:pPr>
      <w:rPr>
        <w:rFonts w:hint="default"/>
      </w:rPr>
    </w:lvl>
    <w:lvl w:ilvl="6" w:tplc="34004924">
      <w:numFmt w:val="bullet"/>
      <w:lvlText w:val="•"/>
      <w:lvlJc w:val="left"/>
      <w:pPr>
        <w:ind w:left="6180" w:hanging="253"/>
      </w:pPr>
      <w:rPr>
        <w:rFonts w:hint="default"/>
      </w:rPr>
    </w:lvl>
    <w:lvl w:ilvl="7" w:tplc="53EAA634">
      <w:numFmt w:val="bullet"/>
      <w:lvlText w:val="•"/>
      <w:lvlJc w:val="left"/>
      <w:pPr>
        <w:ind w:left="7190" w:hanging="253"/>
      </w:pPr>
      <w:rPr>
        <w:rFonts w:hint="default"/>
      </w:rPr>
    </w:lvl>
    <w:lvl w:ilvl="8" w:tplc="96B87532">
      <w:numFmt w:val="bullet"/>
      <w:lvlText w:val="•"/>
      <w:lvlJc w:val="left"/>
      <w:pPr>
        <w:ind w:left="8200" w:hanging="2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0B2"/>
    <w:rsid w:val="00232BE9"/>
    <w:rsid w:val="00371905"/>
    <w:rsid w:val="003A20B2"/>
    <w:rsid w:val="007032F1"/>
    <w:rsid w:val="008A0AFE"/>
    <w:rsid w:val="00A84FDF"/>
    <w:rsid w:val="00F5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FAD4197"/>
  <w15:docId w15:val="{579D2FC1-349E-45A2-9D3F-B29527E7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spacing w:before="2"/>
      <w:ind w:left="271" w:right="1363"/>
      <w:outlineLvl w:val="0"/>
    </w:pPr>
    <w:rPr>
      <w:b/>
      <w:bCs/>
      <w:sz w:val="23"/>
      <w:szCs w:val="23"/>
    </w:rPr>
  </w:style>
  <w:style w:type="paragraph" w:styleId="Overskrift2">
    <w:name w:val="heading 2"/>
    <w:basedOn w:val="Normal"/>
    <w:uiPriority w:val="9"/>
    <w:unhideWhenUsed/>
    <w:qFormat/>
    <w:pPr>
      <w:spacing w:before="152"/>
      <w:ind w:left="118"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fsnit">
    <w:name w:val="List Paragraph"/>
    <w:basedOn w:val="Normal"/>
    <w:uiPriority w:val="1"/>
    <w:qFormat/>
    <w:pPr>
      <w:spacing w:before="152"/>
      <w:ind w:left="356" w:hanging="2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870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(Microsoft Word - Vejledning Medbestemmelse Gr%E6nseoverskridende fusioner.d\205)</vt:lpstr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Vejledning Medbestemmelse Gr%E6nseoverskridende fusioner.d\205)</dc:title>
  <dc:creator>thj</dc:creator>
  <cp:lastModifiedBy>Peter Fabricius</cp:lastModifiedBy>
  <cp:revision>7</cp:revision>
  <cp:lastPrinted>2019-04-11T08:39:00Z</cp:lastPrinted>
  <dcterms:created xsi:type="dcterms:W3CDTF">2019-04-11T08:33:00Z</dcterms:created>
  <dcterms:modified xsi:type="dcterms:W3CDTF">2019-04-11T08:40:00Z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2019-04-11T00:00:00Z</vt:filetime>
  </property>
</Properties>
</file>