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  <w:bookmarkStart w:id="0" w:name="_GoBack"/>
      <w:bookmarkEnd w:id="0"/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Pr="005B4D4C" w:rsidRDefault="009C7E26" w:rsidP="009C7E26">
      <w:pPr>
        <w:rPr>
          <w:rFonts w:ascii="EYInterstate Light" w:hAnsi="EYInterstate Light"/>
          <w:b/>
          <w:sz w:val="32"/>
          <w:szCs w:val="32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Default="009C7E26" w:rsidP="009C7E26">
      <w:pPr>
        <w:jc w:val="center"/>
        <w:rPr>
          <w:rFonts w:ascii="EYInterstate Light" w:hAnsi="EYInterstate Light"/>
          <w:b/>
          <w:sz w:val="28"/>
          <w:szCs w:val="28"/>
          <w:lang w:val="da-DK"/>
        </w:rPr>
      </w:pPr>
    </w:p>
    <w:p w:rsidR="009C7E26" w:rsidRPr="0068537D" w:rsidRDefault="009C7E26" w:rsidP="009C7E26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 w:rsidRPr="0068537D">
        <w:rPr>
          <w:rFonts w:asciiTheme="minorHAnsi" w:hAnsiTheme="minorHAnsi"/>
          <w:b/>
          <w:sz w:val="28"/>
          <w:szCs w:val="28"/>
          <w:lang w:val="da-DK"/>
        </w:rPr>
        <w:t>Issue Tracker</w:t>
      </w:r>
    </w:p>
    <w:p w:rsidR="009C7E26" w:rsidRPr="0068537D" w:rsidRDefault="007B5048" w:rsidP="009C7E26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t>Kvalitetskontrol</w:t>
      </w:r>
      <w:r w:rsidRPr="0068537D">
        <w:rPr>
          <w:rFonts w:asciiTheme="minorHAnsi" w:hAnsiTheme="minorHAnsi"/>
          <w:b/>
          <w:sz w:val="28"/>
          <w:szCs w:val="28"/>
          <w:lang w:val="da-DK"/>
        </w:rPr>
        <w:t xml:space="preserve"> </w:t>
      </w:r>
      <w:r>
        <w:rPr>
          <w:rFonts w:asciiTheme="minorHAnsi" w:hAnsiTheme="minorHAnsi"/>
          <w:b/>
          <w:sz w:val="28"/>
          <w:szCs w:val="28"/>
          <w:highlight w:val="yellow"/>
          <w:lang w:val="da-DK"/>
        </w:rPr>
        <w:t>[</w:t>
      </w:r>
      <w:r w:rsidR="009C7E26" w:rsidRPr="0068537D">
        <w:rPr>
          <w:rFonts w:asciiTheme="minorHAnsi" w:hAnsiTheme="minorHAnsi"/>
          <w:b/>
          <w:sz w:val="28"/>
          <w:szCs w:val="28"/>
          <w:highlight w:val="yellow"/>
          <w:lang w:val="da-DK"/>
        </w:rPr>
        <w:t>201x</w:t>
      </w:r>
      <w:r>
        <w:rPr>
          <w:rFonts w:asciiTheme="minorHAnsi" w:hAnsiTheme="minorHAnsi"/>
          <w:b/>
          <w:sz w:val="28"/>
          <w:szCs w:val="28"/>
          <w:highlight w:val="yellow"/>
          <w:lang w:val="da-DK"/>
        </w:rPr>
        <w:t>]</w:t>
      </w:r>
    </w:p>
    <w:p w:rsidR="009C7E26" w:rsidRPr="0068537D" w:rsidRDefault="009C7E26" w:rsidP="009C7E26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>
        <w:rPr>
          <w:rFonts w:asciiTheme="minorHAnsi" w:hAnsiTheme="minorHAnsi"/>
          <w:b/>
          <w:sz w:val="28"/>
          <w:szCs w:val="28"/>
          <w:lang w:val="da-DK"/>
        </w:rPr>
        <w:t>Gennemgang af revisionsvirksomhedens kvalitetsstyring</w:t>
      </w:r>
      <w:r w:rsidR="00AF6E25">
        <w:rPr>
          <w:rFonts w:asciiTheme="minorHAnsi" w:hAnsiTheme="minorHAnsi"/>
          <w:b/>
          <w:sz w:val="28"/>
          <w:szCs w:val="28"/>
          <w:lang w:val="da-DK"/>
        </w:rPr>
        <w:t>ssystem</w:t>
      </w:r>
    </w:p>
    <w:p w:rsidR="009C7E26" w:rsidRPr="0068537D" w:rsidRDefault="009C7E26" w:rsidP="009C7E26">
      <w:pPr>
        <w:pStyle w:val="Att"/>
        <w:spacing w:after="0" w:line="240" w:lineRule="auto"/>
        <w:jc w:val="center"/>
        <w:rPr>
          <w:rFonts w:asciiTheme="minorHAnsi" w:hAnsiTheme="minorHAnsi"/>
          <w:b w:val="0"/>
          <w:sz w:val="20"/>
          <w:szCs w:val="20"/>
          <w:highlight w:val="yellow"/>
          <w:lang w:val="da-DK"/>
        </w:rPr>
      </w:pPr>
      <w:r w:rsidRPr="0068537D">
        <w:rPr>
          <w:rFonts w:asciiTheme="minorHAnsi" w:hAnsiTheme="minorHAnsi"/>
          <w:b w:val="0"/>
          <w:lang w:val="da-DK"/>
        </w:rPr>
        <w:br/>
      </w:r>
      <w:r w:rsidRPr="0068537D">
        <w:rPr>
          <w:rFonts w:asciiTheme="minorHAnsi" w:hAnsiTheme="minorHAnsi"/>
          <w:b w:val="0"/>
          <w:sz w:val="20"/>
          <w:szCs w:val="20"/>
          <w:highlight w:val="yellow"/>
          <w:lang w:val="da-DK"/>
        </w:rPr>
        <w:t>#Revisions</w:t>
      </w:r>
      <w:r>
        <w:rPr>
          <w:rFonts w:asciiTheme="minorHAnsi" w:hAnsiTheme="minorHAnsi"/>
          <w:b w:val="0"/>
          <w:sz w:val="20"/>
          <w:szCs w:val="20"/>
          <w:highlight w:val="yellow"/>
          <w:lang w:val="da-DK"/>
        </w:rPr>
        <w:t>virksomhed</w:t>
      </w:r>
      <w:r w:rsidRPr="0068537D">
        <w:rPr>
          <w:rFonts w:asciiTheme="minorHAnsi" w:hAnsiTheme="minorHAnsi"/>
          <w:b w:val="0"/>
          <w:sz w:val="20"/>
          <w:szCs w:val="20"/>
          <w:highlight w:val="yellow"/>
          <w:lang w:val="da-DK"/>
        </w:rPr>
        <w:t>#</w:t>
      </w:r>
    </w:p>
    <w:p w:rsidR="009C7E26" w:rsidRPr="0068537D" w:rsidRDefault="009C7E26" w:rsidP="009C7E26">
      <w:pPr>
        <w:jc w:val="center"/>
        <w:rPr>
          <w:rFonts w:asciiTheme="minorHAnsi" w:hAnsiTheme="minorHAnsi"/>
          <w:sz w:val="20"/>
          <w:szCs w:val="20"/>
          <w:highlight w:val="yellow"/>
          <w:lang w:val="da-DK"/>
        </w:rPr>
      </w:pPr>
    </w:p>
    <w:p w:rsidR="009C7E26" w:rsidRPr="0068537D" w:rsidRDefault="009C7E26" w:rsidP="009C7E26">
      <w:pPr>
        <w:pStyle w:val="Dato1"/>
        <w:spacing w:line="240" w:lineRule="auto"/>
        <w:jc w:val="center"/>
        <w:rPr>
          <w:rFonts w:asciiTheme="minorHAnsi" w:hAnsiTheme="minorHAnsi"/>
          <w:sz w:val="20"/>
        </w:rPr>
      </w:pPr>
      <w:r w:rsidRPr="0068537D">
        <w:rPr>
          <w:rFonts w:asciiTheme="minorHAnsi" w:hAnsiTheme="minorHAnsi"/>
          <w:sz w:val="20"/>
          <w:highlight w:val="yellow"/>
        </w:rPr>
        <w:t>#Måned og årstal#</w:t>
      </w:r>
    </w:p>
    <w:p w:rsidR="009C7E26" w:rsidRPr="004D3F71" w:rsidRDefault="009C7E26" w:rsidP="009C7E26">
      <w:pPr>
        <w:rPr>
          <w:rFonts w:ascii="EYInterstate Light" w:hAnsi="EYInterstate Light"/>
          <w:lang w:val="da-DK"/>
        </w:rPr>
      </w:pPr>
    </w:p>
    <w:p w:rsidR="009C7E26" w:rsidRDefault="009C7E26" w:rsidP="009C7E26">
      <w:pPr>
        <w:rPr>
          <w:rFonts w:ascii="EYInterstate Light" w:hAnsi="EYInterstate Light"/>
          <w:sz w:val="20"/>
          <w:szCs w:val="20"/>
          <w:lang w:val="da-DK"/>
        </w:rPr>
      </w:pPr>
      <w:r>
        <w:rPr>
          <w:rFonts w:ascii="EYInterstate Light" w:hAnsi="EYInterstate Light"/>
          <w:sz w:val="20"/>
          <w:szCs w:val="20"/>
          <w:lang w:val="da-DK"/>
        </w:rPr>
        <w:br w:type="page"/>
      </w:r>
    </w:p>
    <w:p w:rsidR="009C7E26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582F8C" w:rsidRDefault="009C7E26" w:rsidP="009C7E26">
      <w:pPr>
        <w:pStyle w:val="Overskrift1"/>
        <w:rPr>
          <w:rFonts w:asciiTheme="minorHAnsi" w:hAnsiTheme="minorHAnsi"/>
          <w:lang w:val="da-DK"/>
        </w:rPr>
      </w:pPr>
      <w:bookmarkStart w:id="1" w:name="_Toc4251519"/>
      <w:r w:rsidRPr="00582F8C">
        <w:rPr>
          <w:rFonts w:asciiTheme="minorHAnsi" w:hAnsiTheme="minorHAnsi"/>
          <w:lang w:val="da-DK"/>
        </w:rPr>
        <w:t>Indholdsfortegnelse</w:t>
      </w:r>
      <w:bookmarkEnd w:id="1"/>
    </w:p>
    <w:p w:rsidR="009C7E26" w:rsidRDefault="009C7E26" w:rsidP="009C7E26">
      <w:pPr>
        <w:pStyle w:val="Indholdsfortegnelse1"/>
        <w:rPr>
          <w:sz w:val="22"/>
          <w:szCs w:val="22"/>
        </w:rPr>
      </w:pPr>
    </w:p>
    <w:p w:rsidR="00F30993" w:rsidRDefault="009C7E2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 w:rsidRPr="0005608E">
        <w:rPr>
          <w:rFonts w:asciiTheme="minorHAnsi" w:hAnsiTheme="minorHAnsi"/>
          <w:sz w:val="22"/>
          <w:szCs w:val="22"/>
        </w:rPr>
        <w:fldChar w:fldCharType="begin"/>
      </w:r>
      <w:r w:rsidRPr="0005608E">
        <w:rPr>
          <w:rFonts w:asciiTheme="minorHAnsi" w:hAnsiTheme="minorHAnsi"/>
          <w:sz w:val="22"/>
          <w:szCs w:val="22"/>
        </w:rPr>
        <w:instrText xml:space="preserve"> TOC \o "1-1" \t "Heading 2;1;Heading 3;2;Overskrift1;1" </w:instrText>
      </w:r>
      <w:r w:rsidRPr="0005608E">
        <w:rPr>
          <w:rFonts w:asciiTheme="minorHAnsi" w:hAnsiTheme="minorHAnsi"/>
          <w:sz w:val="22"/>
          <w:szCs w:val="22"/>
        </w:rPr>
        <w:fldChar w:fldCharType="separate"/>
      </w:r>
      <w:r w:rsidR="00F30993" w:rsidRPr="0037144D">
        <w:rPr>
          <w:rFonts w:asciiTheme="minorHAnsi" w:hAnsiTheme="minorHAnsi"/>
          <w:noProof/>
        </w:rPr>
        <w:t>Indholdsfortegnelse</w:t>
      </w:r>
      <w:r w:rsidR="00F30993">
        <w:rPr>
          <w:noProof/>
        </w:rPr>
        <w:tab/>
      </w:r>
      <w:r w:rsidR="00F30993">
        <w:rPr>
          <w:noProof/>
        </w:rPr>
        <w:fldChar w:fldCharType="begin"/>
      </w:r>
      <w:r w:rsidR="00F30993">
        <w:rPr>
          <w:noProof/>
        </w:rPr>
        <w:instrText xml:space="preserve"> PAGEREF _Toc4251519 \h </w:instrText>
      </w:r>
      <w:r w:rsidR="00F30993">
        <w:rPr>
          <w:noProof/>
        </w:rPr>
      </w:r>
      <w:r w:rsidR="00F30993">
        <w:rPr>
          <w:noProof/>
        </w:rPr>
        <w:fldChar w:fldCharType="separate"/>
      </w:r>
      <w:r w:rsidR="00F30993">
        <w:rPr>
          <w:noProof/>
        </w:rPr>
        <w:t>2</w:t>
      </w:r>
      <w:r w:rsidR="00F30993">
        <w:rPr>
          <w:noProof/>
        </w:rPr>
        <w:fldChar w:fldCharType="end"/>
      </w:r>
    </w:p>
    <w:p w:rsidR="00F30993" w:rsidRDefault="00F3099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 w:rsidRPr="0037144D">
        <w:rPr>
          <w:rFonts w:asciiTheme="minorHAnsi" w:hAnsiTheme="minorHAnsi"/>
          <w:noProof/>
        </w:rPr>
        <w:t>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_Toc4251520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30993" w:rsidRDefault="00F3099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 w:rsidRPr="0037144D">
        <w:rPr>
          <w:rFonts w:asciiTheme="minorHAnsi" w:hAnsiTheme="minorHAnsi"/>
          <w:noProof/>
        </w:rPr>
        <w:t>Observationer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_Toc4251521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30993" w:rsidRDefault="00F3099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 w:rsidRPr="0037144D">
        <w:rPr>
          <w:rFonts w:asciiTheme="minorHAnsi" w:hAnsiTheme="minorHAnsi"/>
          <w:noProof/>
        </w:rPr>
        <w:t>Bekræftelse fra revisionsvirksomheden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0993" w:rsidRDefault="00F3099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 w:rsidRPr="0037144D">
        <w:rPr>
          <w:noProof/>
        </w:rPr>
        <w:t>Observationer vedrørende kvalitetsstyringssystemet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C7E26" w:rsidRPr="0005608E" w:rsidRDefault="009C7E26" w:rsidP="009C7E26">
      <w:pPr>
        <w:rPr>
          <w:rFonts w:asciiTheme="minorHAnsi" w:hAnsiTheme="minorHAnsi"/>
          <w:b/>
          <w:bCs/>
          <w:sz w:val="28"/>
          <w:szCs w:val="28"/>
          <w:lang w:val="da-DK"/>
        </w:rPr>
      </w:pPr>
      <w:r w:rsidRPr="0005608E">
        <w:rPr>
          <w:rFonts w:asciiTheme="minorHAnsi" w:hAnsiTheme="minorHAnsi"/>
          <w:sz w:val="22"/>
          <w:szCs w:val="22"/>
        </w:rPr>
        <w:fldChar w:fldCharType="end"/>
      </w: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9C7E26" w:rsidRPr="00DE0461" w:rsidRDefault="009C7E26" w:rsidP="009C7E26">
      <w:pPr>
        <w:rPr>
          <w:rFonts w:ascii="EYInterstate Light" w:hAnsi="EYInterstate Light"/>
          <w:b/>
          <w:bCs/>
          <w:sz w:val="28"/>
          <w:szCs w:val="28"/>
          <w:lang w:val="da-DK"/>
        </w:rPr>
      </w:pPr>
    </w:p>
    <w:p w:rsidR="00A43C1A" w:rsidRDefault="00A43C1A">
      <w:pPr>
        <w:spacing w:after="200" w:line="276" w:lineRule="auto"/>
        <w:rPr>
          <w:rFonts w:ascii="EYInterstate Light" w:hAnsi="EYInterstate Light"/>
          <w:b/>
          <w:bCs/>
          <w:sz w:val="28"/>
          <w:szCs w:val="28"/>
          <w:lang w:val="da-DK"/>
        </w:rPr>
      </w:pPr>
      <w:r>
        <w:rPr>
          <w:rFonts w:ascii="EYInterstate Light" w:hAnsi="EYInterstate Light"/>
          <w:b/>
          <w:bCs/>
          <w:sz w:val="28"/>
          <w:szCs w:val="28"/>
          <w:lang w:val="da-DK"/>
        </w:rPr>
        <w:br w:type="page"/>
      </w:r>
    </w:p>
    <w:p w:rsidR="009C7E26" w:rsidRPr="0068537D" w:rsidRDefault="009C7E26" w:rsidP="009C7E26">
      <w:pPr>
        <w:pStyle w:val="Overskrift1"/>
        <w:rPr>
          <w:rFonts w:asciiTheme="minorHAnsi" w:hAnsiTheme="minorHAnsi"/>
          <w:lang w:val="da-DK"/>
        </w:rPr>
      </w:pPr>
      <w:bookmarkStart w:id="2" w:name="_Toc4251520"/>
      <w:r>
        <w:rPr>
          <w:rFonts w:asciiTheme="minorHAnsi" w:hAnsiTheme="minorHAnsi"/>
          <w:lang w:val="da-DK"/>
        </w:rPr>
        <w:lastRenderedPageBreak/>
        <w:t>I</w:t>
      </w:r>
      <w:r w:rsidRPr="0068537D">
        <w:rPr>
          <w:rFonts w:asciiTheme="minorHAnsi" w:hAnsiTheme="minorHAnsi"/>
          <w:lang w:val="da-DK"/>
        </w:rPr>
        <w:t>ndledning</w:t>
      </w:r>
      <w:bookmarkEnd w:id="2"/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>Som led i kvalitetskontrol</w:t>
      </w:r>
      <w:r>
        <w:rPr>
          <w:rFonts w:asciiTheme="minorHAnsi" w:hAnsiTheme="minorHAnsi"/>
          <w:sz w:val="20"/>
          <w:szCs w:val="20"/>
          <w:lang w:val="da-DK"/>
        </w:rPr>
        <w:t>len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</w:t>
      </w:r>
      <w:r>
        <w:rPr>
          <w:rFonts w:asciiTheme="minorHAnsi" w:hAnsiTheme="minorHAnsi"/>
          <w:sz w:val="20"/>
          <w:szCs w:val="20"/>
          <w:lang w:val="da-DK"/>
        </w:rPr>
        <w:t>er der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foretaget kvalitetskontrol af </w:t>
      </w:r>
      <w:r>
        <w:rPr>
          <w:rFonts w:asciiTheme="minorHAnsi" w:hAnsiTheme="minorHAnsi"/>
          <w:sz w:val="20"/>
          <w:szCs w:val="20"/>
          <w:lang w:val="da-DK"/>
        </w:rPr>
        <w:t>kvalitetsstyringssystemet</w:t>
      </w:r>
      <w:r w:rsidR="002156CD">
        <w:rPr>
          <w:rFonts w:asciiTheme="minorHAnsi" w:hAnsiTheme="minorHAnsi"/>
          <w:sz w:val="20"/>
          <w:szCs w:val="20"/>
          <w:lang w:val="da-DK"/>
        </w:rPr>
        <w:t>.</w:t>
      </w: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804581">
        <w:rPr>
          <w:rFonts w:asciiTheme="minorHAnsi" w:hAnsiTheme="minorHAnsi"/>
          <w:sz w:val="20"/>
          <w:szCs w:val="20"/>
          <w:lang w:val="da-DK"/>
        </w:rPr>
        <w:t xml:space="preserve">Ved gennemgangen af kvalitetsstyringssystemet er det bl.a. kontrolleret, at </w:t>
      </w:r>
      <w:r w:rsidR="007B5048" w:rsidRPr="007B5048">
        <w:rPr>
          <w:rFonts w:asciiTheme="minorHAnsi" w:hAnsiTheme="minorHAnsi"/>
          <w:sz w:val="20"/>
          <w:szCs w:val="20"/>
          <w:lang w:val="da-DK"/>
        </w:rPr>
        <w:t>revisionsvirksomheden</w:t>
      </w:r>
      <w:r w:rsidRPr="00804581">
        <w:rPr>
          <w:rFonts w:asciiTheme="minorHAnsi" w:hAnsiTheme="minorHAnsi"/>
          <w:sz w:val="20"/>
          <w:szCs w:val="20"/>
          <w:lang w:val="da-DK"/>
        </w:rPr>
        <w:t xml:space="preserve"> har etableret og implementeret fornødne politikker og procedurer for kvalitetssikring af erklæringsopgaver i overensstemmelse med § 28 i revisorloven og regler udstedt i medfør heraf.</w:t>
      </w:r>
      <w:r>
        <w:rPr>
          <w:rFonts w:asciiTheme="minorHAnsi" w:hAnsiTheme="minorHAnsi"/>
          <w:sz w:val="20"/>
          <w:szCs w:val="20"/>
          <w:lang w:val="da-DK"/>
        </w:rPr>
        <w:t xml:space="preserve"> </w:t>
      </w:r>
      <w:r w:rsidRPr="00804581">
        <w:rPr>
          <w:rFonts w:asciiTheme="minorHAnsi" w:hAnsiTheme="minorHAnsi"/>
          <w:sz w:val="20"/>
          <w:szCs w:val="20"/>
          <w:lang w:val="da-DK"/>
        </w:rPr>
        <w:t>Anvendelsen af kvalitetsstyringssystemet kontrolleres ved at foretage kontrol af udvalgte erklæringsopgaver, hvor det bl.a. kontrolleres, om udførelsen af opgaven er ske i overensstemmelse med kvalitetsstyringssystemet.</w:t>
      </w: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2156CD" w:rsidP="009C7E26">
      <w:pPr>
        <w:rPr>
          <w:rFonts w:asciiTheme="minorHAnsi" w:hAnsiTheme="minorHAnsi"/>
          <w:sz w:val="20"/>
          <w:szCs w:val="20"/>
          <w:lang w:val="da-DK"/>
        </w:rPr>
      </w:pPr>
      <w:r>
        <w:rPr>
          <w:rFonts w:asciiTheme="minorHAnsi" w:hAnsiTheme="minorHAnsi"/>
          <w:sz w:val="20"/>
          <w:szCs w:val="20"/>
          <w:lang w:val="da-DK"/>
        </w:rPr>
        <w:t>Denne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 </w:t>
      </w:r>
      <w:r>
        <w:rPr>
          <w:rFonts w:asciiTheme="minorHAnsi" w:hAnsiTheme="minorHAnsi"/>
          <w:sz w:val="20"/>
          <w:szCs w:val="20"/>
          <w:lang w:val="da-DK"/>
        </w:rPr>
        <w:t>”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>Issue Tracker</w:t>
      </w:r>
      <w:r>
        <w:rPr>
          <w:rFonts w:asciiTheme="minorHAnsi" w:hAnsiTheme="minorHAnsi"/>
          <w:sz w:val="20"/>
          <w:szCs w:val="20"/>
          <w:lang w:val="da-DK"/>
        </w:rPr>
        <w:t>”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 oplister </w:t>
      </w:r>
      <w:r w:rsidR="004F3579">
        <w:rPr>
          <w:rFonts w:asciiTheme="minorHAnsi" w:hAnsiTheme="minorHAnsi"/>
          <w:sz w:val="20"/>
          <w:szCs w:val="20"/>
          <w:lang w:val="da-DK"/>
        </w:rPr>
        <w:t xml:space="preserve">væsentlige 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observationer og </w:t>
      </w:r>
      <w:r w:rsidR="004F3579">
        <w:rPr>
          <w:rFonts w:asciiTheme="minorHAnsi" w:hAnsiTheme="minorHAnsi"/>
          <w:sz w:val="20"/>
          <w:szCs w:val="20"/>
          <w:lang w:val="da-DK"/>
        </w:rPr>
        <w:t>observationer med forhold der kan/bør forbedres (anbefalinger</w:t>
      </w:r>
      <w:r w:rsidR="007B5048">
        <w:rPr>
          <w:rFonts w:asciiTheme="minorHAnsi" w:hAnsiTheme="minorHAnsi"/>
          <w:sz w:val="20"/>
          <w:szCs w:val="20"/>
          <w:lang w:val="da-DK"/>
        </w:rPr>
        <w:t>)</w:t>
      </w:r>
      <w:r w:rsidR="009C7E26">
        <w:rPr>
          <w:rFonts w:asciiTheme="minorHAnsi" w:hAnsiTheme="minorHAnsi"/>
          <w:sz w:val="20"/>
          <w:szCs w:val="20"/>
          <w:lang w:val="da-DK"/>
        </w:rPr>
        <w:t xml:space="preserve"> </w:t>
      </w:r>
      <w:r w:rsidR="007B5048">
        <w:rPr>
          <w:rFonts w:asciiTheme="minorHAnsi" w:hAnsiTheme="minorHAnsi"/>
          <w:sz w:val="20"/>
          <w:szCs w:val="20"/>
          <w:lang w:val="da-DK"/>
        </w:rPr>
        <w:t>i forbindelse med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 kvalitetskontrollen</w:t>
      </w:r>
      <w:r w:rsidR="007B5048">
        <w:rPr>
          <w:rFonts w:asciiTheme="minorHAnsi" w:hAnsiTheme="minorHAnsi"/>
          <w:sz w:val="20"/>
          <w:szCs w:val="20"/>
          <w:lang w:val="da-DK"/>
        </w:rPr>
        <w:t>.</w:t>
      </w:r>
    </w:p>
    <w:p w:rsidR="007B5048" w:rsidRPr="0068537D" w:rsidRDefault="007B5048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2156CD" w:rsidP="009C7E26">
      <w:pPr>
        <w:rPr>
          <w:rFonts w:asciiTheme="minorHAnsi" w:hAnsiTheme="minorHAnsi"/>
          <w:bCs/>
          <w:lang w:val="da-DK"/>
        </w:rPr>
      </w:pPr>
      <w:r>
        <w:rPr>
          <w:rFonts w:asciiTheme="minorHAnsi" w:hAnsiTheme="minorHAnsi"/>
          <w:bCs/>
          <w:sz w:val="20"/>
          <w:szCs w:val="20"/>
          <w:lang w:val="da-DK"/>
        </w:rPr>
        <w:t>O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>bservationer</w:t>
      </w:r>
      <w:r>
        <w:rPr>
          <w:rFonts w:asciiTheme="minorHAnsi" w:hAnsiTheme="minorHAnsi"/>
          <w:bCs/>
          <w:sz w:val="20"/>
          <w:szCs w:val="20"/>
          <w:lang w:val="da-DK"/>
        </w:rPr>
        <w:t>ne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 xml:space="preserve"> bedes kommenteret 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>og</w:t>
      </w:r>
      <w:r w:rsidR="009C7E26">
        <w:rPr>
          <w:rFonts w:asciiTheme="minorHAnsi" w:hAnsiTheme="minorHAnsi"/>
          <w:sz w:val="20"/>
          <w:szCs w:val="20"/>
          <w:lang w:val="da-DK"/>
        </w:rPr>
        <w:t xml:space="preserve"> efterfølgende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 fremsendt til </w:t>
      </w:r>
      <w:r w:rsidR="009C7E26">
        <w:rPr>
          <w:rFonts w:asciiTheme="minorHAnsi" w:hAnsiTheme="minorHAnsi"/>
          <w:sz w:val="20"/>
          <w:szCs w:val="20"/>
          <w:lang w:val="da-DK"/>
        </w:rPr>
        <w:t>kvalitetskontrollanten pr. mail</w:t>
      </w:r>
      <w:r w:rsidR="009C7E26" w:rsidRPr="0068537D">
        <w:rPr>
          <w:rFonts w:asciiTheme="minorHAnsi" w:hAnsiTheme="minorHAnsi"/>
          <w:sz w:val="20"/>
          <w:szCs w:val="20"/>
          <w:lang w:val="da-DK"/>
        </w:rPr>
        <w:t xml:space="preserve">. Når disse er modtaget, vil </w:t>
      </w:r>
      <w:r w:rsidR="009C7E26">
        <w:rPr>
          <w:rFonts w:asciiTheme="minorHAnsi" w:hAnsiTheme="minorHAnsi"/>
          <w:sz w:val="20"/>
          <w:szCs w:val="20"/>
          <w:lang w:val="da-DK"/>
        </w:rPr>
        <w:t>kvalitetskontrollanten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 xml:space="preserve"> </w:t>
      </w:r>
      <w:r w:rsidR="009C7E26">
        <w:rPr>
          <w:rFonts w:asciiTheme="minorHAnsi" w:hAnsiTheme="minorHAnsi"/>
          <w:bCs/>
          <w:sz w:val="20"/>
          <w:szCs w:val="20"/>
          <w:lang w:val="da-DK"/>
        </w:rPr>
        <w:t>forholde sig til indholdet af de afgivne kommentarer, og herefter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 xml:space="preserve"> færdiggøre denne </w:t>
      </w:r>
      <w:r w:rsidR="006E04A0">
        <w:rPr>
          <w:rFonts w:asciiTheme="minorHAnsi" w:hAnsiTheme="minorHAnsi"/>
          <w:bCs/>
          <w:sz w:val="20"/>
          <w:szCs w:val="20"/>
          <w:lang w:val="da-DK"/>
        </w:rPr>
        <w:t>”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>Issue Tracker</w:t>
      </w:r>
      <w:r w:rsidR="006E04A0">
        <w:rPr>
          <w:rFonts w:asciiTheme="minorHAnsi" w:hAnsiTheme="minorHAnsi"/>
          <w:bCs/>
          <w:sz w:val="20"/>
          <w:szCs w:val="20"/>
          <w:lang w:val="da-DK"/>
        </w:rPr>
        <w:t>”. ”</w:t>
      </w:r>
      <w:r w:rsidR="006E04A0" w:rsidRPr="0068537D">
        <w:rPr>
          <w:rFonts w:asciiTheme="minorHAnsi" w:hAnsiTheme="minorHAnsi"/>
          <w:bCs/>
          <w:sz w:val="20"/>
          <w:szCs w:val="20"/>
          <w:lang w:val="da-DK"/>
        </w:rPr>
        <w:t>Issue Tracker</w:t>
      </w:r>
      <w:r w:rsidR="006E04A0">
        <w:rPr>
          <w:rFonts w:asciiTheme="minorHAnsi" w:hAnsiTheme="minorHAnsi"/>
          <w:bCs/>
          <w:sz w:val="20"/>
          <w:szCs w:val="20"/>
          <w:lang w:val="da-DK"/>
        </w:rPr>
        <w:t>en”</w:t>
      </w:r>
      <w:r w:rsidR="009C7E26" w:rsidRPr="0068537D">
        <w:rPr>
          <w:rFonts w:asciiTheme="minorHAnsi" w:hAnsiTheme="minorHAnsi"/>
          <w:bCs/>
          <w:sz w:val="20"/>
          <w:szCs w:val="20"/>
          <w:lang w:val="da-DK"/>
        </w:rPr>
        <w:t xml:space="preserve"> vil afslutningsvist blive fremsendt til underskrift.</w:t>
      </w: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rPr>
          <w:rFonts w:asciiTheme="minorHAnsi" w:eastAsiaTheme="majorEastAsia" w:hAnsiTheme="minorHAnsi" w:cstheme="majorBidi"/>
          <w:b/>
          <w:bCs/>
          <w:sz w:val="28"/>
          <w:szCs w:val="28"/>
          <w:lang w:val="da-DK"/>
        </w:rPr>
      </w:pPr>
      <w:r>
        <w:rPr>
          <w:rFonts w:asciiTheme="minorHAnsi" w:hAnsiTheme="minorHAnsi"/>
          <w:lang w:val="da-DK"/>
        </w:rPr>
        <w:br w:type="page"/>
      </w:r>
    </w:p>
    <w:p w:rsidR="009C7E26" w:rsidRPr="0068537D" w:rsidRDefault="007B5048" w:rsidP="009C7E26">
      <w:pPr>
        <w:pStyle w:val="Overskrift1"/>
        <w:rPr>
          <w:rFonts w:asciiTheme="minorHAnsi" w:hAnsiTheme="minorHAnsi"/>
          <w:lang w:val="da-DK"/>
        </w:rPr>
      </w:pPr>
      <w:bookmarkStart w:id="3" w:name="_Toc4251521"/>
      <w:r>
        <w:rPr>
          <w:rFonts w:asciiTheme="minorHAnsi" w:hAnsiTheme="minorHAnsi"/>
          <w:lang w:val="da-DK"/>
        </w:rPr>
        <w:lastRenderedPageBreak/>
        <w:t>Observationer</w:t>
      </w:r>
      <w:bookmarkEnd w:id="3"/>
    </w:p>
    <w:p w:rsidR="009C7E26" w:rsidRPr="0068537D" w:rsidRDefault="009C7E26" w:rsidP="009C7E26">
      <w:pPr>
        <w:rPr>
          <w:rFonts w:asciiTheme="minorHAnsi" w:hAnsiTheme="minorHAnsi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 xml:space="preserve">Som led i </w:t>
      </w:r>
      <w:r>
        <w:rPr>
          <w:rFonts w:asciiTheme="minorHAnsi" w:hAnsiTheme="minorHAnsi"/>
          <w:sz w:val="20"/>
          <w:szCs w:val="20"/>
          <w:lang w:val="da-DK"/>
        </w:rPr>
        <w:t>k</w:t>
      </w:r>
      <w:r w:rsidRPr="0068537D">
        <w:rPr>
          <w:rFonts w:asciiTheme="minorHAnsi" w:hAnsiTheme="minorHAnsi"/>
          <w:sz w:val="20"/>
          <w:szCs w:val="20"/>
          <w:lang w:val="da-DK"/>
        </w:rPr>
        <w:t>valitetskontrol</w:t>
      </w:r>
      <w:r>
        <w:rPr>
          <w:rFonts w:asciiTheme="minorHAnsi" w:hAnsiTheme="minorHAnsi"/>
          <w:sz w:val="20"/>
          <w:szCs w:val="20"/>
          <w:lang w:val="da-DK"/>
        </w:rPr>
        <w:t>len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af </w:t>
      </w:r>
      <w:r>
        <w:rPr>
          <w:rFonts w:asciiTheme="minorHAnsi" w:hAnsiTheme="minorHAnsi"/>
          <w:sz w:val="20"/>
          <w:szCs w:val="20"/>
          <w:lang w:val="da-DK"/>
        </w:rPr>
        <w:t>kvalitetsstyringssystemet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</w:t>
      </w:r>
      <w:r>
        <w:rPr>
          <w:rFonts w:asciiTheme="minorHAnsi" w:hAnsiTheme="minorHAnsi"/>
          <w:sz w:val="20"/>
          <w:szCs w:val="20"/>
          <w:lang w:val="da-DK"/>
        </w:rPr>
        <w:t>har der været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følgende observationer:</w:t>
      </w:r>
    </w:p>
    <w:p w:rsidR="009C7E26" w:rsidRPr="0068537D" w:rsidRDefault="009C7E26" w:rsidP="009C7E26">
      <w:pPr>
        <w:rPr>
          <w:rFonts w:asciiTheme="minorHAnsi" w:hAnsiTheme="minorHAnsi"/>
          <w:lang w:val="da-DK"/>
        </w:rPr>
      </w:pPr>
    </w:p>
    <w:tbl>
      <w:tblPr>
        <w:tblW w:w="11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5103"/>
      </w:tblGrid>
      <w:tr w:rsidR="005D690D" w:rsidRPr="0068537D" w:rsidTr="005D690D"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68537D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68537D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Område nr.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68537D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68537D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Observation</w:t>
            </w: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1 – (A) Tone at the top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804581" w:rsidRDefault="005D690D" w:rsidP="00B342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68537D" w:rsidRDefault="005D690D" w:rsidP="00B3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2</w:t>
            </w:r>
            <w:r w:rsidRPr="0068537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(B) Ethics &amp; Independence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68537D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3</w:t>
            </w:r>
            <w:r w:rsidRPr="0068537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(C)Acceptance and continuance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4 – (D) Partner Evaluation, Compensation and Promotion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5 – (E) Staff Evaluation, Compensation and Promotion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68537D" w:rsidRDefault="005D690D" w:rsidP="00B342A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6</w:t>
            </w:r>
            <w:r w:rsidRPr="0068537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(F) Methodology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rPr>
                <w:rFonts w:asciiTheme="minorHAnsi" w:hAnsiTheme="minorHAnsi"/>
                <w:sz w:val="20"/>
                <w:szCs w:val="20"/>
                <w:highlight w:val="yellow"/>
                <w:lang w:val="da-DK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68537D" w:rsidRDefault="005D690D" w:rsidP="00B3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7</w:t>
            </w:r>
            <w:r w:rsidRPr="0068537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  <w:lang w:val="da-DK"/>
              </w:rPr>
              <w:t>(G) Training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8 – (H) Engagement Quality Control Consultation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804581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D690D" w:rsidRPr="0068537D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9 – (I) Engagement Quality Control – EQCR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804581" w:rsidRDefault="005D690D" w:rsidP="00B342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10 – (J) Engagement Quality Control –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Other quality control reviews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11 – (K) </w:t>
            </w: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Engagement Quality Control –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Audit Documentation and data security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68537D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12 – (L) Internal Monitoring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68537D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sz w:val="20"/>
                <w:szCs w:val="20"/>
                <w:lang w:val="da-DK"/>
              </w:rPr>
              <w:t>13 – (M) Complaints and allegations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5D690D" w:rsidRPr="004542B8" w:rsidTr="005D690D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0D" w:rsidRPr="004542B8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14 – (N) On and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Off</w:t>
            </w:r>
            <w:r w:rsidRPr="004542B8">
              <w:rPr>
                <w:rFonts w:asciiTheme="minorHAnsi" w:hAnsiTheme="minorHAnsi"/>
                <w:sz w:val="20"/>
                <w:szCs w:val="20"/>
                <w:lang w:val="en-US"/>
              </w:rPr>
              <w:t>shoring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90D" w:rsidRPr="005B4B65" w:rsidRDefault="005D690D" w:rsidP="00B342AF">
            <w:pPr>
              <w:tabs>
                <w:tab w:val="left" w:pos="4320"/>
              </w:tabs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:rsidR="009C7E26" w:rsidRPr="0068537D" w:rsidRDefault="009C7E26" w:rsidP="009C7E26">
      <w:pPr>
        <w:tabs>
          <w:tab w:val="left" w:pos="4320"/>
        </w:tabs>
        <w:rPr>
          <w:rFonts w:asciiTheme="minorHAnsi" w:hAnsiTheme="minorHAnsi"/>
          <w:b/>
          <w:sz w:val="32"/>
          <w:szCs w:val="32"/>
          <w:lang w:val="da-DK"/>
        </w:rPr>
      </w:pPr>
    </w:p>
    <w:p w:rsidR="009C7E26" w:rsidRDefault="00A81303" w:rsidP="009C7E26">
      <w:pPr>
        <w:rPr>
          <w:rFonts w:asciiTheme="minorHAnsi" w:hAnsiTheme="minorHAnsi"/>
          <w:b/>
          <w:bCs/>
          <w:sz w:val="20"/>
          <w:szCs w:val="20"/>
          <w:u w:val="single"/>
          <w:lang w:val="da-DK"/>
        </w:rPr>
      </w:pPr>
      <w:r w:rsidRPr="00A81303">
        <w:rPr>
          <w:rFonts w:asciiTheme="minorHAnsi" w:hAnsiTheme="minorHAnsi"/>
          <w:bCs/>
          <w:sz w:val="20"/>
          <w:szCs w:val="20"/>
          <w:lang w:val="da-DK"/>
        </w:rPr>
        <w:t>Væsentlige observationer og forhold der kan/bør forbedres</w:t>
      </w:r>
      <w:r>
        <w:rPr>
          <w:rFonts w:asciiTheme="minorHAnsi" w:hAnsiTheme="minorHAnsi"/>
          <w:bCs/>
          <w:sz w:val="20"/>
          <w:szCs w:val="20"/>
          <w:lang w:val="da-DK"/>
        </w:rPr>
        <w:t xml:space="preserve"> </w:t>
      </w:r>
      <w:r w:rsidR="007B5048">
        <w:rPr>
          <w:rFonts w:asciiTheme="minorHAnsi" w:hAnsiTheme="minorHAnsi"/>
          <w:bCs/>
          <w:sz w:val="20"/>
          <w:szCs w:val="20"/>
          <w:lang w:val="da-DK"/>
        </w:rPr>
        <w:t xml:space="preserve">(anbefalinger) </w:t>
      </w:r>
      <w:r w:rsidR="005D690D">
        <w:rPr>
          <w:rFonts w:asciiTheme="minorHAnsi" w:hAnsiTheme="minorHAnsi"/>
          <w:bCs/>
          <w:sz w:val="20"/>
          <w:szCs w:val="20"/>
          <w:lang w:val="da-DK"/>
        </w:rPr>
        <w:t xml:space="preserve">kan indgå i </w:t>
      </w:r>
      <w:r w:rsidR="004A24A6" w:rsidRPr="008B64ED">
        <w:rPr>
          <w:rFonts w:asciiTheme="minorHAnsi" w:hAnsiTheme="minorHAnsi"/>
          <w:bCs/>
          <w:sz w:val="20"/>
          <w:szCs w:val="20"/>
          <w:lang w:val="da-DK"/>
        </w:rPr>
        <w:t>rapporten</w:t>
      </w:r>
      <w:r w:rsidR="007B5048">
        <w:rPr>
          <w:rFonts w:asciiTheme="minorHAnsi" w:hAnsiTheme="minorHAnsi"/>
          <w:bCs/>
          <w:sz w:val="20"/>
          <w:szCs w:val="20"/>
          <w:lang w:val="da-DK"/>
        </w:rPr>
        <w:t xml:space="preserve"> til revisionsvirksomheden</w:t>
      </w:r>
      <w:r w:rsidR="004A24A6" w:rsidRPr="008B64ED">
        <w:rPr>
          <w:rFonts w:asciiTheme="minorHAnsi" w:hAnsiTheme="minorHAnsi"/>
          <w:bCs/>
          <w:sz w:val="20"/>
          <w:szCs w:val="20"/>
          <w:lang w:val="da-DK"/>
        </w:rPr>
        <w:t xml:space="preserve"> med henblik på, at der bliver fulgt op herpå.</w:t>
      </w:r>
    </w:p>
    <w:p w:rsidR="009C7E26" w:rsidRDefault="009C7E26" w:rsidP="009C7E26">
      <w:pPr>
        <w:rPr>
          <w:rFonts w:asciiTheme="minorHAnsi" w:hAnsiTheme="minorHAnsi"/>
          <w:bCs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>#Dato#</w:t>
      </w: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tabs>
          <w:tab w:val="left" w:pos="4320"/>
        </w:tabs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>#</w:t>
      </w:r>
      <w:r w:rsidRPr="006C0F96">
        <w:rPr>
          <w:rFonts w:asciiTheme="minorHAnsi" w:hAnsiTheme="minorHAnsi"/>
          <w:sz w:val="20"/>
          <w:szCs w:val="20"/>
          <w:highlight w:val="yellow"/>
          <w:lang w:val="da-DK"/>
        </w:rPr>
        <w:t>Navn på kvalitetskontrollant</w:t>
      </w:r>
      <w:r w:rsidRPr="0068537D">
        <w:rPr>
          <w:rFonts w:asciiTheme="minorHAnsi" w:hAnsiTheme="minorHAnsi"/>
          <w:sz w:val="20"/>
          <w:szCs w:val="20"/>
          <w:lang w:val="da-DK"/>
        </w:rPr>
        <w:t>#</w:t>
      </w:r>
      <w:r w:rsidRPr="0068537D">
        <w:rPr>
          <w:rFonts w:asciiTheme="minorHAnsi" w:hAnsiTheme="minorHAnsi"/>
          <w:sz w:val="20"/>
          <w:szCs w:val="20"/>
          <w:lang w:val="da-DK"/>
        </w:rPr>
        <w:tab/>
      </w:r>
    </w:p>
    <w:p w:rsidR="009C7E26" w:rsidRPr="0068537D" w:rsidRDefault="009C7E26" w:rsidP="009C7E26">
      <w:pPr>
        <w:tabs>
          <w:tab w:val="left" w:pos="4320"/>
        </w:tabs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>Kvalitetskontrollant</w:t>
      </w:r>
      <w:r w:rsidRPr="0068537D">
        <w:rPr>
          <w:rFonts w:asciiTheme="minorHAnsi" w:hAnsiTheme="minorHAnsi"/>
          <w:sz w:val="20"/>
          <w:szCs w:val="20"/>
          <w:lang w:val="da-DK"/>
        </w:rPr>
        <w:tab/>
      </w:r>
    </w:p>
    <w:p w:rsidR="009C7E26" w:rsidRDefault="009C7E26" w:rsidP="009C7E26">
      <w:pPr>
        <w:rPr>
          <w:rFonts w:asciiTheme="minorHAnsi" w:eastAsiaTheme="majorEastAsia" w:hAnsiTheme="minorHAnsi" w:cstheme="majorBidi"/>
          <w:b/>
          <w:bCs/>
          <w:sz w:val="28"/>
          <w:szCs w:val="28"/>
          <w:lang w:val="da-DK"/>
        </w:rPr>
      </w:pPr>
      <w:r>
        <w:rPr>
          <w:rFonts w:asciiTheme="minorHAnsi" w:hAnsiTheme="minorHAnsi"/>
          <w:lang w:val="da-DK"/>
        </w:rPr>
        <w:br w:type="page"/>
      </w:r>
    </w:p>
    <w:p w:rsidR="009C7E26" w:rsidRPr="0068537D" w:rsidRDefault="009C7E26" w:rsidP="009C7E26">
      <w:pPr>
        <w:pStyle w:val="Overskrift1"/>
        <w:rPr>
          <w:rFonts w:asciiTheme="minorHAnsi" w:hAnsiTheme="minorHAnsi"/>
          <w:lang w:val="da-DK"/>
        </w:rPr>
      </w:pPr>
      <w:bookmarkStart w:id="4" w:name="_Toc4251522"/>
      <w:r w:rsidRPr="0068537D">
        <w:rPr>
          <w:rFonts w:asciiTheme="minorHAnsi" w:hAnsiTheme="minorHAnsi"/>
          <w:lang w:val="da-DK"/>
        </w:rPr>
        <w:lastRenderedPageBreak/>
        <w:t xml:space="preserve">Bekræftelse fra </w:t>
      </w:r>
      <w:r w:rsidR="007B5048">
        <w:rPr>
          <w:rFonts w:asciiTheme="minorHAnsi" w:hAnsiTheme="minorHAnsi"/>
          <w:lang w:val="da-DK"/>
        </w:rPr>
        <w:t>r</w:t>
      </w:r>
      <w:r w:rsidRPr="007B5048">
        <w:rPr>
          <w:rFonts w:asciiTheme="minorHAnsi" w:hAnsiTheme="minorHAnsi"/>
          <w:lang w:val="da-DK"/>
        </w:rPr>
        <w:t>evisionsvirksomhed</w:t>
      </w:r>
      <w:r w:rsidR="007B5048" w:rsidRPr="007B5048">
        <w:rPr>
          <w:rFonts w:asciiTheme="minorHAnsi" w:hAnsiTheme="minorHAnsi"/>
          <w:lang w:val="da-DK"/>
        </w:rPr>
        <w:t>en</w:t>
      </w:r>
      <w:bookmarkEnd w:id="4"/>
    </w:p>
    <w:p w:rsidR="009C7E26" w:rsidRPr="0068537D" w:rsidRDefault="009C7E26" w:rsidP="009C7E26">
      <w:pPr>
        <w:jc w:val="both"/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 xml:space="preserve">Vi har ved gennemførelse af kvalitetskontrollen forelagt kvalitetskontrollanten alt relevant materiale til brug for </w:t>
      </w:r>
      <w:r w:rsidR="007B5048">
        <w:rPr>
          <w:rFonts w:asciiTheme="minorHAnsi" w:hAnsiTheme="minorHAnsi"/>
          <w:sz w:val="20"/>
          <w:szCs w:val="20"/>
          <w:lang w:val="da-DK"/>
        </w:rPr>
        <w:t>gennemgangen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af </w:t>
      </w:r>
      <w:r>
        <w:rPr>
          <w:rFonts w:asciiTheme="minorHAnsi" w:hAnsiTheme="minorHAnsi"/>
          <w:sz w:val="20"/>
          <w:szCs w:val="20"/>
          <w:lang w:val="da-DK"/>
        </w:rPr>
        <w:t>kvalitetsstyringssystemet</w:t>
      </w:r>
      <w:r w:rsidRPr="0068537D">
        <w:rPr>
          <w:rFonts w:asciiTheme="minorHAnsi" w:hAnsiTheme="minorHAnsi"/>
          <w:sz w:val="20"/>
          <w:szCs w:val="20"/>
          <w:lang w:val="da-DK"/>
        </w:rPr>
        <w:t>.</w:t>
      </w:r>
      <w:r w:rsidR="004A24A6">
        <w:rPr>
          <w:rFonts w:asciiTheme="minorHAnsi" w:hAnsiTheme="minorHAnsi"/>
          <w:sz w:val="20"/>
          <w:szCs w:val="20"/>
          <w:lang w:val="da-DK"/>
        </w:rPr>
        <w:t xml:space="preserve"> Med underskrift bekræftes det, at der ikke foreligger yderligere materiale eller oplysninger af relevans for kvalitetskontrollen </w:t>
      </w:r>
      <w:r w:rsidR="006E04A0">
        <w:rPr>
          <w:rFonts w:asciiTheme="minorHAnsi" w:hAnsiTheme="minorHAnsi"/>
          <w:sz w:val="20"/>
          <w:szCs w:val="20"/>
          <w:lang w:val="da-DK"/>
        </w:rPr>
        <w:t xml:space="preserve">samt gennemgangen af kvalitetsstyringssystemet. </w:t>
      </w: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>Vi har drøf</w:t>
      </w:r>
      <w:r>
        <w:rPr>
          <w:rFonts w:asciiTheme="minorHAnsi" w:hAnsiTheme="minorHAnsi"/>
          <w:sz w:val="20"/>
          <w:szCs w:val="20"/>
          <w:lang w:val="da-DK"/>
        </w:rPr>
        <w:t xml:space="preserve">tet ovennævnte observation(er) 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med </w:t>
      </w:r>
      <w:r>
        <w:rPr>
          <w:rFonts w:asciiTheme="minorHAnsi" w:hAnsiTheme="minorHAnsi"/>
          <w:sz w:val="20"/>
          <w:szCs w:val="20"/>
          <w:lang w:val="da-DK"/>
        </w:rPr>
        <w:t>kvalitetskontrollanten</w:t>
      </w:r>
      <w:r w:rsidRPr="0068537D">
        <w:rPr>
          <w:rFonts w:asciiTheme="minorHAnsi" w:hAnsiTheme="minorHAnsi"/>
          <w:sz w:val="20"/>
          <w:szCs w:val="20"/>
          <w:lang w:val="da-DK"/>
        </w:rPr>
        <w:t xml:space="preserve"> og har haft mulighed for at komme med vores kommentarer hertil.</w:t>
      </w:r>
      <w:r>
        <w:rPr>
          <w:rFonts w:asciiTheme="minorHAnsi" w:hAnsiTheme="minorHAnsi"/>
          <w:sz w:val="20"/>
          <w:szCs w:val="20"/>
          <w:lang w:val="da-DK"/>
        </w:rPr>
        <w:t xml:space="preserve"> Disse er gengivet i nedenstående kolonne under ”Ledelsens kommentarer”.</w:t>
      </w:r>
    </w:p>
    <w:p w:rsidR="004A24A6" w:rsidRDefault="004A24A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4A24A6" w:rsidRDefault="006E04A0" w:rsidP="004A24A6">
      <w:pPr>
        <w:jc w:val="both"/>
        <w:rPr>
          <w:rFonts w:asciiTheme="minorHAnsi" w:hAnsiTheme="minorHAnsi"/>
          <w:sz w:val="20"/>
          <w:szCs w:val="20"/>
          <w:lang w:val="da-DK"/>
        </w:rPr>
      </w:pPr>
      <w:r>
        <w:rPr>
          <w:rFonts w:asciiTheme="minorHAnsi" w:hAnsiTheme="minorHAnsi"/>
          <w:sz w:val="20"/>
          <w:szCs w:val="20"/>
          <w:lang w:val="da-DK"/>
        </w:rPr>
        <w:t xml:space="preserve">Det skal bemærkes, at </w:t>
      </w:r>
      <w:r w:rsidR="004A24A6">
        <w:rPr>
          <w:rFonts w:asciiTheme="minorHAnsi" w:hAnsiTheme="minorHAnsi"/>
          <w:sz w:val="20"/>
          <w:szCs w:val="20"/>
          <w:lang w:val="da-DK"/>
        </w:rPr>
        <w:t>underskrift</w:t>
      </w:r>
      <w:r>
        <w:rPr>
          <w:rFonts w:asciiTheme="minorHAnsi" w:hAnsiTheme="minorHAnsi"/>
          <w:sz w:val="20"/>
          <w:szCs w:val="20"/>
          <w:lang w:val="da-DK"/>
        </w:rPr>
        <w:t xml:space="preserve">en ikke nødvendigvis er udtryk for enighed med </w:t>
      </w:r>
      <w:r w:rsidR="007B5048">
        <w:rPr>
          <w:rFonts w:asciiTheme="minorHAnsi" w:hAnsiTheme="minorHAnsi"/>
          <w:sz w:val="20"/>
          <w:szCs w:val="20"/>
          <w:lang w:val="da-DK"/>
        </w:rPr>
        <w:t>kvalitets</w:t>
      </w:r>
      <w:r>
        <w:rPr>
          <w:rFonts w:asciiTheme="minorHAnsi" w:hAnsiTheme="minorHAnsi"/>
          <w:sz w:val="20"/>
          <w:szCs w:val="20"/>
          <w:lang w:val="da-DK"/>
        </w:rPr>
        <w:t xml:space="preserve">kontrollanten i de fremførte observationer. </w:t>
      </w:r>
      <w:r w:rsidR="004A24A6">
        <w:rPr>
          <w:rFonts w:asciiTheme="minorHAnsi" w:hAnsiTheme="minorHAnsi"/>
          <w:sz w:val="20"/>
          <w:szCs w:val="20"/>
          <w:lang w:val="da-DK"/>
        </w:rPr>
        <w:t xml:space="preserve">En eventuel uenighed </w:t>
      </w:r>
      <w:r>
        <w:rPr>
          <w:rFonts w:asciiTheme="minorHAnsi" w:hAnsiTheme="minorHAnsi"/>
          <w:sz w:val="20"/>
          <w:szCs w:val="20"/>
          <w:lang w:val="da-DK"/>
        </w:rPr>
        <w:t>beskrives som en del af</w:t>
      </w:r>
      <w:r w:rsidR="004A24A6">
        <w:rPr>
          <w:rFonts w:asciiTheme="minorHAnsi" w:hAnsiTheme="minorHAnsi"/>
          <w:sz w:val="20"/>
          <w:szCs w:val="20"/>
          <w:lang w:val="da-DK"/>
        </w:rPr>
        <w:t xml:space="preserve"> ”Ledelsens kommentarer”.</w:t>
      </w:r>
    </w:p>
    <w:p w:rsidR="004A24A6" w:rsidRPr="0068537D" w:rsidRDefault="004A24A6" w:rsidP="004A24A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>#Dato#</w:t>
      </w:r>
    </w:p>
    <w:p w:rsidR="009C7E26" w:rsidRPr="0068537D" w:rsidRDefault="009C7E26" w:rsidP="009C7E26">
      <w:pPr>
        <w:rPr>
          <w:rFonts w:asciiTheme="minorHAnsi" w:hAnsiTheme="minorHAnsi"/>
          <w:b/>
          <w:sz w:val="20"/>
          <w:szCs w:val="20"/>
          <w:lang w:val="da-DK"/>
        </w:rPr>
      </w:pPr>
      <w:r w:rsidRPr="0068537D">
        <w:rPr>
          <w:rFonts w:asciiTheme="minorHAnsi" w:hAnsiTheme="minorHAnsi"/>
          <w:b/>
          <w:sz w:val="20"/>
          <w:szCs w:val="20"/>
          <w:highlight w:val="yellow"/>
          <w:lang w:val="da-DK"/>
        </w:rPr>
        <w:t>#Revisions</w:t>
      </w:r>
      <w:r>
        <w:rPr>
          <w:rFonts w:asciiTheme="minorHAnsi" w:hAnsiTheme="minorHAnsi"/>
          <w:b/>
          <w:sz w:val="20"/>
          <w:szCs w:val="20"/>
          <w:highlight w:val="yellow"/>
          <w:lang w:val="da-DK"/>
        </w:rPr>
        <w:t>virksomhed</w:t>
      </w:r>
      <w:r w:rsidRPr="0068537D">
        <w:rPr>
          <w:rFonts w:asciiTheme="minorHAnsi" w:hAnsiTheme="minorHAnsi"/>
          <w:b/>
          <w:sz w:val="20"/>
          <w:szCs w:val="20"/>
          <w:highlight w:val="yellow"/>
          <w:lang w:val="da-DK"/>
        </w:rPr>
        <w:t>#</w:t>
      </w: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rPr>
          <w:rFonts w:asciiTheme="minorHAnsi" w:hAnsiTheme="minorHAnsi"/>
          <w:sz w:val="20"/>
          <w:szCs w:val="20"/>
          <w:lang w:val="da-DK"/>
        </w:rPr>
      </w:pPr>
    </w:p>
    <w:p w:rsidR="009C7E26" w:rsidRPr="0068537D" w:rsidRDefault="009C7E26" w:rsidP="009C7E26">
      <w:pPr>
        <w:tabs>
          <w:tab w:val="left" w:pos="4320"/>
        </w:tabs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 xml:space="preserve">#navn på </w:t>
      </w:r>
      <w:r>
        <w:rPr>
          <w:rFonts w:asciiTheme="minorHAnsi" w:hAnsiTheme="minorHAnsi"/>
          <w:sz w:val="20"/>
          <w:szCs w:val="20"/>
          <w:highlight w:val="yellow"/>
          <w:lang w:val="da-DK"/>
        </w:rPr>
        <w:t>ledelse</w:t>
      </w: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>#</w:t>
      </w:r>
      <w:r w:rsidRPr="0068537D">
        <w:rPr>
          <w:rFonts w:asciiTheme="minorHAnsi" w:hAnsiTheme="minorHAnsi"/>
          <w:sz w:val="20"/>
          <w:szCs w:val="20"/>
          <w:lang w:val="da-DK"/>
        </w:rPr>
        <w:tab/>
      </w: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 xml:space="preserve">#navn på </w:t>
      </w:r>
      <w:r>
        <w:rPr>
          <w:rFonts w:asciiTheme="minorHAnsi" w:hAnsiTheme="minorHAnsi"/>
          <w:sz w:val="20"/>
          <w:szCs w:val="20"/>
          <w:highlight w:val="yellow"/>
          <w:lang w:val="da-DK"/>
        </w:rPr>
        <w:t>ledelse</w:t>
      </w:r>
      <w:r w:rsidRPr="0068537D">
        <w:rPr>
          <w:rFonts w:asciiTheme="minorHAnsi" w:hAnsiTheme="minorHAnsi"/>
          <w:sz w:val="20"/>
          <w:szCs w:val="20"/>
          <w:highlight w:val="yellow"/>
          <w:lang w:val="da-DK"/>
        </w:rPr>
        <w:t>#</w:t>
      </w:r>
    </w:p>
    <w:p w:rsidR="009C7E26" w:rsidRPr="0068537D" w:rsidRDefault="009C7E26" w:rsidP="009C7E26">
      <w:pPr>
        <w:tabs>
          <w:tab w:val="left" w:pos="4320"/>
        </w:tabs>
        <w:rPr>
          <w:rFonts w:asciiTheme="minorHAnsi" w:hAnsiTheme="minorHAnsi"/>
          <w:sz w:val="20"/>
          <w:szCs w:val="20"/>
          <w:lang w:val="da-DK"/>
        </w:rPr>
      </w:pPr>
      <w:r w:rsidRPr="0068537D">
        <w:rPr>
          <w:rFonts w:asciiTheme="minorHAnsi" w:hAnsiTheme="minorHAnsi"/>
          <w:sz w:val="20"/>
          <w:szCs w:val="20"/>
          <w:lang w:val="da-DK"/>
        </w:rPr>
        <w:t>Statsautoriseret revisor</w:t>
      </w:r>
      <w:r w:rsidRPr="0068537D">
        <w:rPr>
          <w:rFonts w:asciiTheme="minorHAnsi" w:hAnsiTheme="minorHAnsi"/>
          <w:sz w:val="20"/>
          <w:szCs w:val="20"/>
          <w:lang w:val="da-DK"/>
        </w:rPr>
        <w:tab/>
        <w:t>Statsautoriseret revisor</w:t>
      </w:r>
    </w:p>
    <w:p w:rsidR="009C7E26" w:rsidRPr="00265AA8" w:rsidRDefault="009C7E26" w:rsidP="009C7E26">
      <w:pPr>
        <w:rPr>
          <w:rFonts w:ascii="EYInterstate Light" w:hAnsi="EYInterstate Light"/>
          <w:sz w:val="20"/>
          <w:szCs w:val="20"/>
          <w:lang w:val="da-DK"/>
        </w:rPr>
      </w:pPr>
    </w:p>
    <w:p w:rsidR="009C7E26" w:rsidRDefault="009C7E26" w:rsidP="009C7E26">
      <w:pPr>
        <w:pStyle w:val="Overskrift1"/>
        <w:rPr>
          <w:sz w:val="26"/>
          <w:szCs w:val="26"/>
          <w:lang w:val="da-DK"/>
        </w:rPr>
      </w:pPr>
      <w:r w:rsidRPr="009633F2">
        <w:rPr>
          <w:lang w:val="da-DK"/>
        </w:rPr>
        <w:br w:type="page"/>
      </w:r>
      <w:bookmarkStart w:id="5" w:name="_Toc119570361"/>
      <w:bookmarkStart w:id="6" w:name="_Toc239691909"/>
      <w:r>
        <w:rPr>
          <w:lang w:val="da-DK"/>
        </w:rPr>
        <w:lastRenderedPageBreak/>
        <w:t xml:space="preserve"> </w:t>
      </w:r>
      <w:bookmarkStart w:id="7" w:name="_Toc4251523"/>
      <w:r w:rsidRPr="005B4D4C">
        <w:rPr>
          <w:sz w:val="26"/>
          <w:szCs w:val="26"/>
          <w:lang w:val="da-DK"/>
        </w:rPr>
        <w:t xml:space="preserve">Observationer </w:t>
      </w:r>
      <w:r w:rsidR="007B5048">
        <w:rPr>
          <w:sz w:val="26"/>
          <w:szCs w:val="26"/>
          <w:lang w:val="da-DK"/>
        </w:rPr>
        <w:t>vedrørende</w:t>
      </w:r>
      <w:r>
        <w:rPr>
          <w:sz w:val="26"/>
          <w:szCs w:val="26"/>
          <w:lang w:val="da-DK"/>
        </w:rPr>
        <w:t xml:space="preserve"> kvalitetsstyringssystemet</w:t>
      </w:r>
      <w:bookmarkEnd w:id="7"/>
      <w:r>
        <w:rPr>
          <w:sz w:val="26"/>
          <w:szCs w:val="26"/>
          <w:lang w:val="da-DK"/>
        </w:rPr>
        <w:t xml:space="preserve"> </w:t>
      </w:r>
      <w:r>
        <w:rPr>
          <w:sz w:val="26"/>
          <w:szCs w:val="26"/>
          <w:lang w:val="da-DK"/>
        </w:rPr>
        <w:br/>
      </w:r>
    </w:p>
    <w:tbl>
      <w:tblPr>
        <w:tblW w:w="14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94"/>
        <w:gridCol w:w="992"/>
        <w:gridCol w:w="2410"/>
        <w:gridCol w:w="5245"/>
      </w:tblGrid>
      <w:tr w:rsidR="00183666" w:rsidRPr="009633F2" w:rsidTr="007B5048">
        <w:trPr>
          <w:trHeight w:val="92"/>
          <w:tblHeader/>
        </w:trPr>
        <w:tc>
          <w:tcPr>
            <w:tcW w:w="498" w:type="dxa"/>
            <w:tcBorders>
              <w:bottom w:val="single" w:sz="4" w:space="0" w:color="auto"/>
            </w:tcBorders>
          </w:tcPr>
          <w:p w:rsidR="00183666" w:rsidRPr="009633F2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183666" w:rsidRPr="007A367E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 w:rsidRPr="007A367E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Observation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666" w:rsidRPr="007A367E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Reference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666" w:rsidRPr="00183666" w:rsidRDefault="00183666" w:rsidP="00183666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 w:rsidRPr="00183666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 xml:space="preserve">1 = Væsentlig observation (skal forbedres) </w:t>
            </w:r>
          </w:p>
          <w:p w:rsidR="00183666" w:rsidRPr="00183666" w:rsidRDefault="00183666" w:rsidP="00183666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</w:p>
          <w:p w:rsidR="00183666" w:rsidRDefault="00183666" w:rsidP="00183666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 w:rsidRPr="00183666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2 =</w:t>
            </w:r>
            <w:r w:rsidR="00F8229D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 xml:space="preserve"> </w:t>
            </w:r>
            <w:r w:rsidRPr="00183666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Observation (kan/bør forbedres)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83666" w:rsidRPr="007A367E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Ledelsens</w:t>
            </w:r>
            <w:r w:rsidRPr="007A367E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 xml:space="preserve"> kommentarer</w:t>
            </w:r>
          </w:p>
        </w:tc>
      </w:tr>
      <w:tr w:rsidR="00183666" w:rsidRPr="00AC07C4" w:rsidTr="007B5048">
        <w:trPr>
          <w:trHeight w:val="519"/>
        </w:trPr>
        <w:tc>
          <w:tcPr>
            <w:tcW w:w="498" w:type="dxa"/>
            <w:shd w:val="clear" w:color="auto" w:fill="99CCFF"/>
          </w:tcPr>
          <w:p w:rsidR="00183666" w:rsidRPr="009633F2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shd w:val="clear" w:color="auto" w:fill="99CCFF"/>
          </w:tcPr>
          <w:p w:rsidR="00183666" w:rsidRPr="00AC07C4" w:rsidRDefault="00183666" w:rsidP="00B342AF">
            <w:pPr>
              <w:rPr>
                <w:rFonts w:ascii="EYInterstate Light" w:hAnsi="EYInterstate Light"/>
                <w:sz w:val="18"/>
                <w:szCs w:val="18"/>
                <w:lang w:val="en-US"/>
              </w:rPr>
            </w:pPr>
          </w:p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(A) Tone at the top </w:t>
            </w:r>
          </w:p>
        </w:tc>
        <w:tc>
          <w:tcPr>
            <w:tcW w:w="992" w:type="dxa"/>
            <w:shd w:val="clear" w:color="auto" w:fill="99CCFF"/>
          </w:tcPr>
          <w:p w:rsidR="00183666" w:rsidRPr="00AC07C4" w:rsidRDefault="00183666" w:rsidP="00B342AF">
            <w:pPr>
              <w:rPr>
                <w:rFonts w:ascii="EYInterstate Light" w:hAnsi="EYInterstate Light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99CCFF"/>
          </w:tcPr>
          <w:p w:rsidR="00183666" w:rsidRPr="00AC07C4" w:rsidRDefault="00183666" w:rsidP="00B342AF">
            <w:pPr>
              <w:rPr>
                <w:rFonts w:ascii="EYInterstate Light" w:hAnsi="EYInterstate Light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99CCFF"/>
          </w:tcPr>
          <w:p w:rsidR="00183666" w:rsidRPr="00AC07C4" w:rsidRDefault="00183666" w:rsidP="00B342AF">
            <w:pPr>
              <w:rPr>
                <w:rFonts w:ascii="EYInterstate Light" w:hAnsi="EYInterstate Light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B77E2B" w:rsidRDefault="00183666" w:rsidP="00B342AF">
            <w:pPr>
              <w:numPr>
                <w:ilvl w:val="0"/>
                <w:numId w:val="1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>
              <w:rPr>
                <w:rFonts w:ascii="EYInterstate Light" w:hAnsi="EYInterstate Light"/>
                <w:sz w:val="18"/>
                <w:szCs w:val="18"/>
                <w:lang w:val="da-DK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183666" w:rsidRPr="00A00AE7" w:rsidRDefault="00183666" w:rsidP="003A111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 w:rsidR="007B5048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183666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7B5048" w:rsidRPr="007A367E" w:rsidRDefault="007B5048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183666" w:rsidRDefault="00183666" w:rsidP="003A111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183666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7B5048" w:rsidRDefault="007B5048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183666" w:rsidRDefault="00183666" w:rsidP="003A111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Kontrollantens vurdering </w:t>
            </w:r>
            <w:r w:rsidR="007B5048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af observationen</w:t>
            </w:r>
          </w:p>
          <w:p w:rsidR="007B5048" w:rsidRPr="007A367E" w:rsidRDefault="007B5048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183666" w:rsidRPr="003A1113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AC07C4" w:rsidTr="007B5048">
        <w:trPr>
          <w:trHeight w:val="639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9F78C3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4964DB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 xml:space="preserve">2. </w:t>
            </w:r>
            <w:r w:rsidRPr="00AC07C4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(B) Ethics &amp; Independence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4964DB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4964DB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4964DB" w:rsidRDefault="00183666" w:rsidP="00B342AF">
            <w:pP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83666" w:rsidRPr="00451ED6" w:rsidRDefault="00183666" w:rsidP="009C7E26">
            <w:pPr>
              <w:numPr>
                <w:ilvl w:val="0"/>
                <w:numId w:val="3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666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##</w:t>
            </w:r>
          </w:p>
          <w:p w:rsidR="00183666" w:rsidRPr="009445D7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666" w:rsidRPr="004964D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83666" w:rsidRPr="004964D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CC0F2E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CC0F2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 xml:space="preserve">3. </w:t>
            </w:r>
            <w:r w:rsidRPr="00AC07C4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(C)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 xml:space="preserve"> </w:t>
            </w:r>
            <w:r w:rsidRPr="00AC07C4">
              <w:rPr>
                <w:rFonts w:asciiTheme="minorHAnsi" w:hAnsiTheme="minorHAnsi"/>
                <w:b/>
                <w:bCs/>
                <w:sz w:val="18"/>
                <w:szCs w:val="18"/>
                <w:lang w:val="da-DK"/>
              </w:rPr>
              <w:t>Acceptance and continuance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CC0F2E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CC0F2E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CC0F2E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2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4. </w:t>
            </w:r>
            <w:r w:rsidRPr="0080458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(D) Partner Evaluation, Compensation and Promotion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5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5. (E) Staff Evaluation, Compensation and Promotion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6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(F) Methodology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8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7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(G) Training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9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lastRenderedPageBreak/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8.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(H) Engagement Quality Control Consultation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0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9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(I) Engagement Quality Control – EQCR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1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B342AF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10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(J) Engagement Quality Control – Other quality control reviews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2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lastRenderedPageBreak/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11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(K) Engagement Quality Control – Audit Documentation and data security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3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12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(L) Internal Monitoring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4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13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(M) Complaints and allegations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5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83666" w:rsidRPr="00CC0F2E" w:rsidTr="007B5048">
        <w:trPr>
          <w:trHeight w:val="618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8D0170" w:rsidRDefault="00183666" w:rsidP="00B342AF">
            <w:pPr>
              <w:rPr>
                <w:rFonts w:ascii="EYInterstate Light" w:hAnsi="EYInterstate Light"/>
                <w:sz w:val="18"/>
                <w:szCs w:val="18"/>
                <w:lang w:val="da-DK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14</w:t>
            </w:r>
            <w:r w:rsidRPr="00AC07C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 </w:t>
            </w:r>
            <w:r w:rsidRPr="00154FC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(N) On and Offshoring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3666" w:rsidRPr="00AC07C4" w:rsidRDefault="00183666" w:rsidP="00B342A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83666" w:rsidRPr="002156CD" w:rsidTr="007B5048">
        <w:trPr>
          <w:trHeight w:val="51"/>
        </w:trPr>
        <w:tc>
          <w:tcPr>
            <w:tcW w:w="498" w:type="dxa"/>
            <w:shd w:val="clear" w:color="auto" w:fill="auto"/>
          </w:tcPr>
          <w:p w:rsidR="00183666" w:rsidRPr="0097221F" w:rsidRDefault="00183666" w:rsidP="009C7E26">
            <w:pPr>
              <w:numPr>
                <w:ilvl w:val="0"/>
                <w:numId w:val="16"/>
              </w:numPr>
              <w:tabs>
                <w:tab w:val="left" w:pos="91"/>
              </w:tabs>
              <w:rPr>
                <w:rFonts w:ascii="EYInterstate Light" w:hAnsi="EYInterstate Light"/>
                <w:sz w:val="18"/>
                <w:szCs w:val="18"/>
                <w:lang w:val="da-DK"/>
              </w:rPr>
            </w:pPr>
            <w:r w:rsidRPr="00AC7CD7">
              <w:rPr>
                <w:rFonts w:ascii="EYInterstate Light" w:hAnsi="EYInterstate Light"/>
                <w:bCs/>
                <w:iCs/>
                <w:sz w:val="18"/>
                <w:szCs w:val="18"/>
                <w:lang w:val="da-DK"/>
              </w:rPr>
              <w:t>BGL</w:t>
            </w:r>
          </w:p>
        </w:tc>
        <w:tc>
          <w:tcPr>
            <w:tcW w:w="4994" w:type="dxa"/>
            <w:shd w:val="clear" w:color="auto" w:fill="auto"/>
          </w:tcPr>
          <w:p w:rsidR="00F30993" w:rsidRPr="00A00AE7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Observation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(faktuelle forhold)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Pr="007A367E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 w:rsidRPr="00A00AE7"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Særlige forhold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 xml:space="preserve"> at iagttage i relation til observationen </w:t>
            </w: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F30993" w:rsidRDefault="00F30993" w:rsidP="00F30993">
            <w:pP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da-DK"/>
              </w:rPr>
              <w:t>Kontrollantens vurdering af observationen</w:t>
            </w:r>
          </w:p>
          <w:p w:rsidR="00183666" w:rsidRPr="00E11A4B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da-DK"/>
              </w:rPr>
              <w:t>##</w:t>
            </w:r>
          </w:p>
          <w:p w:rsidR="00183666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  <w:p w:rsidR="00183666" w:rsidRPr="007A367E" w:rsidRDefault="00183666" w:rsidP="00B342AF">
            <w:pPr>
              <w:rPr>
                <w:rFonts w:asciiTheme="minorHAnsi" w:hAnsi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245" w:type="dxa"/>
            <w:shd w:val="clear" w:color="auto" w:fill="auto"/>
          </w:tcPr>
          <w:p w:rsidR="00183666" w:rsidRPr="007A367E" w:rsidRDefault="00183666" w:rsidP="003A1113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bookmarkEnd w:id="5"/>
      <w:bookmarkEnd w:id="6"/>
    </w:tbl>
    <w:p w:rsidR="009C7E26" w:rsidRDefault="009C7E26" w:rsidP="009C7E26">
      <w:pPr>
        <w:rPr>
          <w:b/>
          <w:lang w:val="da-DK"/>
        </w:rPr>
      </w:pPr>
    </w:p>
    <w:sectPr w:rsidR="009C7E26" w:rsidSect="00946C19">
      <w:headerReference w:type="default" r:id="rId8"/>
      <w:footerReference w:type="default" r:id="rId9"/>
      <w:pgSz w:w="16838" w:h="11906" w:orient="landscape" w:code="9"/>
      <w:pgMar w:top="1134" w:right="1134" w:bottom="96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D5" w:rsidRDefault="003125D5">
      <w:r>
        <w:separator/>
      </w:r>
    </w:p>
  </w:endnote>
  <w:endnote w:type="continuationSeparator" w:id="0">
    <w:p w:rsidR="003125D5" w:rsidRDefault="003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YInterstate Light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Pr="00FC4CC3" w:rsidRDefault="008D62E3" w:rsidP="005F6AFD">
    <w:pPr>
      <w:pStyle w:val="Sidefod"/>
      <w:ind w:right="-190"/>
      <w:jc w:val="right"/>
      <w:rPr>
        <w:rFonts w:ascii="EYInterstate Light" w:hAnsi="EYInterstate Light"/>
        <w:sz w:val="20"/>
        <w:szCs w:val="20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FC4CC3">
      <w:rPr>
        <w:rFonts w:ascii="EYInterstate Light" w:hAnsi="EYInterstate Light"/>
        <w:sz w:val="20"/>
        <w:szCs w:val="20"/>
        <w:lang w:val="en-US"/>
      </w:rPr>
      <w:t xml:space="preserve">Page </w:t>
    </w:r>
    <w:r w:rsidRPr="00FC4CC3">
      <w:rPr>
        <w:rFonts w:ascii="EYInterstate Light" w:hAnsi="EYInterstate Light"/>
        <w:sz w:val="20"/>
        <w:szCs w:val="20"/>
        <w:lang w:val="en-US"/>
      </w:rPr>
      <w:fldChar w:fldCharType="begin"/>
    </w:r>
    <w:r w:rsidRPr="00FC4CC3">
      <w:rPr>
        <w:rFonts w:ascii="EYInterstate Light" w:hAnsi="EYInterstate Light"/>
        <w:sz w:val="20"/>
        <w:szCs w:val="20"/>
        <w:lang w:val="en-US"/>
      </w:rPr>
      <w:instrText xml:space="preserve"> PAGE </w:instrText>
    </w:r>
    <w:r w:rsidRPr="00FC4CC3">
      <w:rPr>
        <w:rFonts w:ascii="EYInterstate Light" w:hAnsi="EYInterstate Light"/>
        <w:sz w:val="20"/>
        <w:szCs w:val="20"/>
        <w:lang w:val="en-US"/>
      </w:rPr>
      <w:fldChar w:fldCharType="separate"/>
    </w:r>
    <w:r w:rsidR="005D690D">
      <w:rPr>
        <w:rFonts w:ascii="EYInterstate Light" w:hAnsi="EYInterstate Light"/>
        <w:noProof/>
        <w:sz w:val="20"/>
        <w:szCs w:val="20"/>
        <w:lang w:val="en-US"/>
      </w:rPr>
      <w:t>7</w:t>
    </w:r>
    <w:r w:rsidRPr="00FC4CC3">
      <w:rPr>
        <w:rFonts w:ascii="EYInterstate Light" w:hAnsi="EYInterstate Light"/>
        <w:sz w:val="20"/>
        <w:szCs w:val="20"/>
        <w:lang w:val="en-US"/>
      </w:rPr>
      <w:fldChar w:fldCharType="end"/>
    </w:r>
    <w:r w:rsidRPr="00FC4CC3">
      <w:rPr>
        <w:rFonts w:ascii="EYInterstate Light" w:hAnsi="EYInterstate Light"/>
        <w:sz w:val="20"/>
        <w:szCs w:val="20"/>
        <w:lang w:val="en-US"/>
      </w:rPr>
      <w:t xml:space="preserve"> of </w:t>
    </w:r>
    <w:r w:rsidRPr="00FC4CC3">
      <w:rPr>
        <w:rFonts w:ascii="EYInterstate Light" w:hAnsi="EYInterstate Light"/>
        <w:sz w:val="20"/>
        <w:szCs w:val="20"/>
        <w:lang w:val="en-US"/>
      </w:rPr>
      <w:fldChar w:fldCharType="begin"/>
    </w:r>
    <w:r w:rsidRPr="00FC4CC3">
      <w:rPr>
        <w:rFonts w:ascii="EYInterstate Light" w:hAnsi="EYInterstate Light"/>
        <w:sz w:val="20"/>
        <w:szCs w:val="20"/>
        <w:lang w:val="en-US"/>
      </w:rPr>
      <w:instrText xml:space="preserve"> NUMPAGES </w:instrText>
    </w:r>
    <w:r w:rsidRPr="00FC4CC3">
      <w:rPr>
        <w:rFonts w:ascii="EYInterstate Light" w:hAnsi="EYInterstate Light"/>
        <w:sz w:val="20"/>
        <w:szCs w:val="20"/>
        <w:lang w:val="en-US"/>
      </w:rPr>
      <w:fldChar w:fldCharType="separate"/>
    </w:r>
    <w:r w:rsidR="005D690D">
      <w:rPr>
        <w:rFonts w:ascii="EYInterstate Light" w:hAnsi="EYInterstate Light"/>
        <w:noProof/>
        <w:sz w:val="20"/>
        <w:szCs w:val="20"/>
        <w:lang w:val="en-US"/>
      </w:rPr>
      <w:t>12</w:t>
    </w:r>
    <w:r w:rsidRPr="00FC4CC3">
      <w:rPr>
        <w:rFonts w:ascii="EYInterstate Light" w:hAnsi="EYInterstate Light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D5" w:rsidRDefault="003125D5">
      <w:r>
        <w:separator/>
      </w:r>
    </w:p>
  </w:footnote>
  <w:footnote w:type="continuationSeparator" w:id="0">
    <w:p w:rsidR="003125D5" w:rsidRDefault="0031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5E" w:rsidRDefault="00FF2DEB">
    <w:pPr>
      <w:pStyle w:val="Sidehoved"/>
    </w:pPr>
  </w:p>
  <w:p w:rsidR="0037465E" w:rsidRDefault="00FF2D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41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B0296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E1FED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814A8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87207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A7AFF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857FD"/>
    <w:multiLevelType w:val="hybridMultilevel"/>
    <w:tmpl w:val="31A024DE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C4412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84336"/>
    <w:multiLevelType w:val="hybridMultilevel"/>
    <w:tmpl w:val="D2B63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E68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130EA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4458"/>
    <w:multiLevelType w:val="hybridMultilevel"/>
    <w:tmpl w:val="37EE1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12FCF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B14CF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575B0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E2EDE"/>
    <w:multiLevelType w:val="hybridMultilevel"/>
    <w:tmpl w:val="5E8ED62A"/>
    <w:lvl w:ilvl="0" w:tplc="A85A352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EYInterstate" w:hAnsi="EYInterstate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26"/>
    <w:rsid w:val="0005608E"/>
    <w:rsid w:val="0009574A"/>
    <w:rsid w:val="0010114B"/>
    <w:rsid w:val="00183666"/>
    <w:rsid w:val="002156CD"/>
    <w:rsid w:val="00263018"/>
    <w:rsid w:val="002C37CA"/>
    <w:rsid w:val="002D5533"/>
    <w:rsid w:val="003125D5"/>
    <w:rsid w:val="00373E3A"/>
    <w:rsid w:val="003A1113"/>
    <w:rsid w:val="00403D17"/>
    <w:rsid w:val="004A24A6"/>
    <w:rsid w:val="004C43D0"/>
    <w:rsid w:val="004F3579"/>
    <w:rsid w:val="005D690D"/>
    <w:rsid w:val="006864C4"/>
    <w:rsid w:val="006E04A0"/>
    <w:rsid w:val="00701893"/>
    <w:rsid w:val="00724E04"/>
    <w:rsid w:val="007B5048"/>
    <w:rsid w:val="0083648D"/>
    <w:rsid w:val="00865B09"/>
    <w:rsid w:val="008741B6"/>
    <w:rsid w:val="008D62E3"/>
    <w:rsid w:val="009C7E26"/>
    <w:rsid w:val="00A43C1A"/>
    <w:rsid w:val="00A81303"/>
    <w:rsid w:val="00AC70E5"/>
    <w:rsid w:val="00AF6E25"/>
    <w:rsid w:val="00BC2854"/>
    <w:rsid w:val="00BF2A3E"/>
    <w:rsid w:val="00E5597D"/>
    <w:rsid w:val="00E84027"/>
    <w:rsid w:val="00F30993"/>
    <w:rsid w:val="00F57503"/>
    <w:rsid w:val="00F8229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3D0E64-D254-494E-9C5D-1E6DB6D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9C7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C7E26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Sidehoved">
    <w:name w:val="header"/>
    <w:basedOn w:val="Normal"/>
    <w:link w:val="SidehovedTegn"/>
    <w:rsid w:val="009C7E2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9C7E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rsid w:val="009C7E26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9C7E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tt">
    <w:name w:val="Att"/>
    <w:basedOn w:val="Normal"/>
    <w:next w:val="Dato1"/>
    <w:rsid w:val="009C7E26"/>
    <w:pPr>
      <w:spacing w:after="1130" w:line="240" w:lineRule="exact"/>
    </w:pPr>
    <w:rPr>
      <w:b/>
      <w:lang w:val="en-US"/>
    </w:rPr>
  </w:style>
  <w:style w:type="paragraph" w:customStyle="1" w:styleId="Dato1">
    <w:name w:val="Dato1"/>
    <w:rsid w:val="009C7E26"/>
    <w:pPr>
      <w:tabs>
        <w:tab w:val="left" w:pos="453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holdsfortegnelse1">
    <w:name w:val="toc 1"/>
    <w:next w:val="Normal"/>
    <w:uiPriority w:val="39"/>
    <w:rsid w:val="009C7E26"/>
    <w:pPr>
      <w:tabs>
        <w:tab w:val="right" w:pos="9639"/>
      </w:tabs>
      <w:spacing w:after="0" w:line="320" w:lineRule="atLeast"/>
    </w:pPr>
    <w:rPr>
      <w:rFonts w:ascii="EYInterstate Light" w:eastAsia="Times New Roman" w:hAnsi="EYInterstate Light" w:cs="Times New Roman"/>
      <w:sz w:val="16"/>
      <w:szCs w:val="20"/>
    </w:rPr>
  </w:style>
  <w:style w:type="paragraph" w:styleId="Listeafsnit">
    <w:name w:val="List Paragraph"/>
    <w:basedOn w:val="Normal"/>
    <w:uiPriority w:val="34"/>
    <w:qFormat/>
    <w:rsid w:val="009C7E2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90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90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273D-CE59-426A-AFEF-37F9FA4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898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Ploug</dc:creator>
  <cp:lastModifiedBy>Hanne Groth</cp:lastModifiedBy>
  <cp:revision>2</cp:revision>
  <cp:lastPrinted>2018-06-22T10:31:00Z</cp:lastPrinted>
  <dcterms:created xsi:type="dcterms:W3CDTF">2019-04-09T09:44:00Z</dcterms:created>
  <dcterms:modified xsi:type="dcterms:W3CDTF">2019-04-09T09:44:00Z</dcterms:modified>
</cp:coreProperties>
</file>