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2AE" w:rsidRPr="005125C8" w:rsidRDefault="009B12AE" w:rsidP="009B12AE">
      <w:pPr>
        <w:keepNext/>
        <w:spacing w:before="240" w:after="60"/>
        <w:jc w:val="both"/>
        <w:outlineLvl w:val="0"/>
        <w:rPr>
          <w:rFonts w:ascii="Book Antiqua" w:hAnsi="Book Antiqua"/>
          <w:b/>
          <w:kern w:val="32"/>
          <w:sz w:val="32"/>
          <w:lang w:eastAsia="en-US"/>
        </w:rPr>
      </w:pPr>
      <w:bookmarkStart w:id="0" w:name="_Toc297879835"/>
      <w:bookmarkStart w:id="1" w:name="_GoBack"/>
      <w:bookmarkEnd w:id="1"/>
      <w:r w:rsidRPr="00506935">
        <w:rPr>
          <w:rFonts w:ascii="Sylfaen" w:hAnsi="Sylfaen"/>
          <w:b/>
          <w:kern w:val="32"/>
          <w:sz w:val="48"/>
          <w:szCs w:val="48"/>
          <w:lang w:eastAsia="en-US"/>
        </w:rPr>
        <w:t>Revisortilsynets behandling af sagerne</w:t>
      </w:r>
      <w:bookmarkEnd w:id="0"/>
      <w:r w:rsidR="00506935">
        <w:rPr>
          <w:rStyle w:val="Fodnotehenvisning"/>
          <w:rFonts w:ascii="Book Antiqua" w:hAnsi="Book Antiqua"/>
          <w:b/>
          <w:kern w:val="32"/>
          <w:sz w:val="32"/>
          <w:lang w:eastAsia="en-US"/>
        </w:rPr>
        <w:footnoteReference w:id="1"/>
      </w:r>
    </w:p>
    <w:p w:rsidR="00506935" w:rsidRDefault="00506935" w:rsidP="001145C8">
      <w:pPr>
        <w:keepNext/>
        <w:spacing w:before="240" w:after="60"/>
        <w:outlineLvl w:val="1"/>
        <w:rPr>
          <w:rFonts w:ascii="Book Antiqua" w:hAnsi="Book Antiqua"/>
          <w:b/>
          <w:bCs/>
          <w:i/>
          <w:iCs/>
          <w:sz w:val="28"/>
          <w:lang w:eastAsia="en-US"/>
        </w:rPr>
      </w:pPr>
      <w:bookmarkStart w:id="2" w:name="_Toc328580920"/>
    </w:p>
    <w:p w:rsidR="001145C8" w:rsidRPr="001145C8" w:rsidRDefault="001145C8" w:rsidP="001145C8">
      <w:pPr>
        <w:keepNext/>
        <w:spacing w:before="240" w:after="60"/>
        <w:outlineLvl w:val="1"/>
        <w:rPr>
          <w:rFonts w:ascii="Book Antiqua" w:hAnsi="Book Antiqua"/>
          <w:b/>
          <w:bCs/>
          <w:i/>
          <w:iCs/>
          <w:sz w:val="28"/>
          <w:lang w:eastAsia="en-US"/>
        </w:rPr>
      </w:pPr>
      <w:r w:rsidRPr="001145C8">
        <w:rPr>
          <w:rFonts w:ascii="Book Antiqua" w:hAnsi="Book Antiqua"/>
          <w:b/>
          <w:bCs/>
          <w:i/>
          <w:iCs/>
          <w:sz w:val="28"/>
          <w:lang w:eastAsia="en-US"/>
        </w:rPr>
        <w:t>1. Erklæring ikke indkommet</w:t>
      </w:r>
      <w:bookmarkEnd w:id="2"/>
      <w:r w:rsidRPr="001145C8">
        <w:rPr>
          <w:rFonts w:ascii="Book Antiqua" w:hAnsi="Book Antiqua"/>
          <w:b/>
          <w:bCs/>
          <w:i/>
          <w:iCs/>
          <w:sz w:val="28"/>
          <w:lang w:eastAsia="en-US"/>
        </w:rPr>
        <w:t xml:space="preserve"> </w:t>
      </w:r>
    </w:p>
    <w:p w:rsidR="00C942CA" w:rsidRDefault="001145C8" w:rsidP="001145C8">
      <w:pPr>
        <w:jc w:val="both"/>
        <w:rPr>
          <w:rFonts w:ascii="Book Antiqua" w:hAnsi="Book Antiqua"/>
          <w:sz w:val="22"/>
          <w:lang w:eastAsia="en-US"/>
        </w:rPr>
      </w:pPr>
      <w:r w:rsidRPr="001145C8">
        <w:rPr>
          <w:rFonts w:ascii="Book Antiqua" w:hAnsi="Book Antiqua"/>
          <w:sz w:val="22"/>
          <w:lang w:eastAsia="en-US"/>
        </w:rPr>
        <w:t xml:space="preserve">I de sager, hvor Revisortilsynet ikke har modtaget en erklæring vedrørende kvalitetskontrollen, rykker Revisortilsynet kvalitetskontrollanten med kopi til revisionsvirksomheden. </w:t>
      </w:r>
    </w:p>
    <w:p w:rsidR="00C942CA" w:rsidRDefault="00C942CA" w:rsidP="001145C8">
      <w:pPr>
        <w:jc w:val="both"/>
        <w:rPr>
          <w:rFonts w:ascii="Book Antiqua" w:hAnsi="Book Antiqua"/>
          <w:sz w:val="22"/>
          <w:lang w:eastAsia="en-US"/>
        </w:rPr>
      </w:pPr>
    </w:p>
    <w:p w:rsidR="001145C8" w:rsidRPr="001145C8" w:rsidRDefault="001145C8" w:rsidP="001145C8">
      <w:pPr>
        <w:jc w:val="both"/>
        <w:rPr>
          <w:rFonts w:ascii="Book Antiqua" w:hAnsi="Book Antiqua"/>
          <w:sz w:val="22"/>
          <w:lang w:eastAsia="en-US"/>
        </w:rPr>
      </w:pPr>
      <w:r w:rsidRPr="001145C8">
        <w:rPr>
          <w:rFonts w:ascii="Book Antiqua" w:hAnsi="Book Antiqua"/>
          <w:sz w:val="22"/>
          <w:lang w:eastAsia="en-US"/>
        </w:rPr>
        <w:t>Hvis erklæringen fortsat ikke modtages, oversender Revisortilsynet revisionsvirksomheden til Erhvervsstyrelsen med henblik på, at revisionsvirksomheden slettes i Revireg, medmindre årsagen for den ikke fremsendte erklæring skyldes forhold hos kvalitetskontrollanten.</w:t>
      </w:r>
      <w:r w:rsidR="00EF43D0">
        <w:rPr>
          <w:rFonts w:ascii="Book Antiqua" w:hAnsi="Book Antiqua"/>
          <w:sz w:val="22"/>
          <w:lang w:eastAsia="en-US"/>
        </w:rPr>
        <w:t xml:space="preserve"> </w:t>
      </w:r>
      <w:r w:rsidRPr="001145C8">
        <w:rPr>
          <w:rFonts w:ascii="Book Antiqua" w:hAnsi="Book Antiqua"/>
          <w:sz w:val="22"/>
          <w:lang w:eastAsia="en-US"/>
        </w:rPr>
        <w:t xml:space="preserve">Revisortilsynet ophæver </w:t>
      </w:r>
      <w:r w:rsidR="00EF43D0">
        <w:rPr>
          <w:rFonts w:ascii="Book Antiqua" w:hAnsi="Book Antiqua"/>
          <w:sz w:val="22"/>
          <w:lang w:eastAsia="en-US"/>
        </w:rPr>
        <w:t xml:space="preserve">herefter </w:t>
      </w:r>
      <w:r w:rsidRPr="001145C8">
        <w:rPr>
          <w:rFonts w:ascii="Book Antiqua" w:hAnsi="Book Antiqua"/>
          <w:sz w:val="22"/>
          <w:lang w:eastAsia="en-US"/>
        </w:rPr>
        <w:t>aftalen med kvalitetskontrollanten om gennemførelse af kvalitetskontrollen og træffer afgørelse om eventuel betaling, afhængig af hvem forholdet beror på.</w:t>
      </w:r>
    </w:p>
    <w:p w:rsidR="001145C8" w:rsidRPr="001145C8" w:rsidRDefault="001145C8" w:rsidP="001145C8">
      <w:pPr>
        <w:tabs>
          <w:tab w:val="left" w:pos="3870"/>
        </w:tabs>
        <w:jc w:val="both"/>
        <w:rPr>
          <w:rFonts w:ascii="Book Antiqua" w:hAnsi="Book Antiqua"/>
          <w:sz w:val="22"/>
          <w:lang w:eastAsia="en-US"/>
        </w:rPr>
      </w:pPr>
      <w:r w:rsidRPr="001145C8">
        <w:rPr>
          <w:rFonts w:ascii="Book Antiqua" w:hAnsi="Book Antiqua"/>
          <w:sz w:val="22"/>
          <w:lang w:eastAsia="en-US"/>
        </w:rPr>
        <w:tab/>
      </w:r>
    </w:p>
    <w:p w:rsidR="001145C8" w:rsidRPr="001145C8" w:rsidRDefault="001145C8" w:rsidP="001145C8">
      <w:pPr>
        <w:keepNext/>
        <w:spacing w:before="240" w:after="60"/>
        <w:outlineLvl w:val="1"/>
        <w:rPr>
          <w:rFonts w:ascii="Book Antiqua" w:hAnsi="Book Antiqua"/>
          <w:b/>
          <w:bCs/>
          <w:i/>
          <w:iCs/>
          <w:sz w:val="28"/>
          <w:lang w:eastAsia="en-US"/>
        </w:rPr>
      </w:pPr>
      <w:bookmarkStart w:id="3" w:name="_Toc328580921"/>
      <w:r w:rsidRPr="001145C8">
        <w:rPr>
          <w:rFonts w:ascii="Book Antiqua" w:hAnsi="Book Antiqua"/>
          <w:b/>
          <w:bCs/>
          <w:i/>
          <w:iCs/>
          <w:sz w:val="28"/>
          <w:lang w:eastAsia="en-US"/>
        </w:rPr>
        <w:t xml:space="preserve">2. Fejl i </w:t>
      </w:r>
      <w:r w:rsidR="00903960">
        <w:rPr>
          <w:rFonts w:ascii="Book Antiqua" w:hAnsi="Book Antiqua"/>
          <w:b/>
          <w:bCs/>
          <w:i/>
          <w:iCs/>
          <w:sz w:val="28"/>
          <w:lang w:eastAsia="en-US"/>
        </w:rPr>
        <w:t xml:space="preserve">kvalitetskontrollantens </w:t>
      </w:r>
      <w:r w:rsidRPr="001145C8">
        <w:rPr>
          <w:rFonts w:ascii="Book Antiqua" w:hAnsi="Book Antiqua"/>
          <w:b/>
          <w:bCs/>
          <w:i/>
          <w:iCs/>
          <w:sz w:val="28"/>
          <w:lang w:eastAsia="en-US"/>
        </w:rPr>
        <w:t xml:space="preserve">erklæring </w:t>
      </w:r>
      <w:bookmarkEnd w:id="3"/>
    </w:p>
    <w:p w:rsidR="00903960" w:rsidRDefault="00EF43D0" w:rsidP="001145C8">
      <w:pPr>
        <w:jc w:val="both"/>
        <w:rPr>
          <w:rFonts w:ascii="Book Antiqua" w:hAnsi="Book Antiqua"/>
          <w:sz w:val="22"/>
          <w:lang w:eastAsia="en-US"/>
        </w:rPr>
      </w:pPr>
      <w:r>
        <w:rPr>
          <w:rFonts w:ascii="Book Antiqua" w:hAnsi="Book Antiqua"/>
          <w:sz w:val="22"/>
          <w:lang w:eastAsia="en-US"/>
        </w:rPr>
        <w:t>I enkel</w:t>
      </w:r>
      <w:r w:rsidR="00903960">
        <w:rPr>
          <w:rFonts w:ascii="Book Antiqua" w:hAnsi="Book Antiqua"/>
          <w:sz w:val="22"/>
          <w:lang w:eastAsia="en-US"/>
        </w:rPr>
        <w:t xml:space="preserve">te tilfælde </w:t>
      </w:r>
      <w:r>
        <w:rPr>
          <w:rFonts w:ascii="Book Antiqua" w:hAnsi="Book Antiqua"/>
          <w:sz w:val="22"/>
          <w:lang w:eastAsia="en-US"/>
        </w:rPr>
        <w:t xml:space="preserve">er der fejl eller mangler i de </w:t>
      </w:r>
      <w:r w:rsidR="000A2796">
        <w:rPr>
          <w:rFonts w:ascii="Book Antiqua" w:hAnsi="Book Antiqua"/>
          <w:sz w:val="22"/>
          <w:lang w:eastAsia="en-US"/>
        </w:rPr>
        <w:t xml:space="preserve">indkomne </w:t>
      </w:r>
      <w:r>
        <w:rPr>
          <w:rFonts w:ascii="Book Antiqua" w:hAnsi="Book Antiqua"/>
          <w:sz w:val="22"/>
          <w:lang w:eastAsia="en-US"/>
        </w:rPr>
        <w:t xml:space="preserve">erklæringer, typisk i forhold til de krav, som kvalitetskontrollanten skal erklære sig om. I de tilfælde kan </w:t>
      </w:r>
      <w:r w:rsidRPr="00EF43D0">
        <w:rPr>
          <w:rFonts w:ascii="Book Antiqua" w:hAnsi="Book Antiqua"/>
          <w:sz w:val="22"/>
          <w:lang w:eastAsia="en-US"/>
        </w:rPr>
        <w:t xml:space="preserve">Revisortilsynet afvise erklæringen med anmodning om, at manglerne/fejlene rettes. Kvalitetskontrollanten skal </w:t>
      </w:r>
      <w:r>
        <w:rPr>
          <w:rFonts w:ascii="Book Antiqua" w:hAnsi="Book Antiqua"/>
          <w:sz w:val="22"/>
          <w:lang w:eastAsia="en-US"/>
        </w:rPr>
        <w:t xml:space="preserve">herefter </w:t>
      </w:r>
      <w:r w:rsidRPr="00EF43D0">
        <w:rPr>
          <w:rFonts w:ascii="Book Antiqua" w:hAnsi="Book Antiqua"/>
          <w:sz w:val="22"/>
          <w:lang w:eastAsia="en-US"/>
        </w:rPr>
        <w:t>indsende en berigtiget erklæring i Revireg.</w:t>
      </w:r>
    </w:p>
    <w:p w:rsidR="00EF43D0" w:rsidRDefault="00EF43D0" w:rsidP="001145C8">
      <w:pPr>
        <w:jc w:val="both"/>
        <w:rPr>
          <w:rFonts w:ascii="Book Antiqua" w:hAnsi="Book Antiqua"/>
          <w:sz w:val="22"/>
          <w:lang w:eastAsia="en-US"/>
        </w:rPr>
      </w:pPr>
    </w:p>
    <w:p w:rsidR="001145C8" w:rsidRPr="001145C8" w:rsidRDefault="001145C8" w:rsidP="001145C8">
      <w:pPr>
        <w:keepNext/>
        <w:spacing w:before="240" w:after="60"/>
        <w:outlineLvl w:val="1"/>
        <w:rPr>
          <w:rFonts w:ascii="Book Antiqua" w:hAnsi="Book Antiqua"/>
          <w:b/>
          <w:bCs/>
          <w:i/>
          <w:iCs/>
          <w:sz w:val="28"/>
          <w:lang w:eastAsia="en-US"/>
        </w:rPr>
      </w:pPr>
      <w:bookmarkStart w:id="4" w:name="_Toc328580922"/>
      <w:r w:rsidRPr="001145C8">
        <w:rPr>
          <w:rFonts w:ascii="Book Antiqua" w:hAnsi="Book Antiqua"/>
          <w:b/>
          <w:bCs/>
          <w:i/>
          <w:iCs/>
          <w:sz w:val="28"/>
          <w:lang w:eastAsia="en-US"/>
        </w:rPr>
        <w:t>3. Indhentelse af kvalitetskontrollantens arbejdspapirer mv.</w:t>
      </w:r>
      <w:bookmarkEnd w:id="4"/>
    </w:p>
    <w:p w:rsidR="002F7791" w:rsidRDefault="002F7791" w:rsidP="001145C8">
      <w:pPr>
        <w:jc w:val="both"/>
        <w:rPr>
          <w:rFonts w:ascii="Book Antiqua" w:hAnsi="Book Antiqua"/>
          <w:sz w:val="22"/>
          <w:lang w:eastAsia="en-US"/>
        </w:rPr>
      </w:pPr>
      <w:r w:rsidRPr="002F7791">
        <w:rPr>
          <w:rFonts w:ascii="Book Antiqua" w:hAnsi="Book Antiqua"/>
          <w:sz w:val="22"/>
          <w:lang w:eastAsia="en-US"/>
        </w:rPr>
        <w:t xml:space="preserve">Ved modtagelse af erklæring med forbehold og/eller supplerende oplysninger, vil sekretariatet som hovedregel indkalde kontrollantens arbejdspapirer til brug for den videre sagsbehandling. </w:t>
      </w:r>
    </w:p>
    <w:p w:rsidR="003D638A" w:rsidRDefault="003D638A" w:rsidP="001145C8">
      <w:pPr>
        <w:jc w:val="both"/>
        <w:rPr>
          <w:rFonts w:ascii="Book Antiqua" w:hAnsi="Book Antiqua"/>
          <w:sz w:val="22"/>
          <w:lang w:eastAsia="en-US"/>
        </w:rPr>
      </w:pPr>
    </w:p>
    <w:p w:rsidR="001145C8" w:rsidRDefault="002F7791" w:rsidP="001145C8">
      <w:pPr>
        <w:jc w:val="both"/>
        <w:rPr>
          <w:rFonts w:ascii="Book Antiqua" w:hAnsi="Book Antiqua"/>
          <w:sz w:val="22"/>
          <w:lang w:eastAsia="en-US"/>
        </w:rPr>
      </w:pPr>
      <w:r>
        <w:rPr>
          <w:rFonts w:ascii="Book Antiqua" w:hAnsi="Book Antiqua"/>
          <w:sz w:val="22"/>
          <w:lang w:eastAsia="en-US"/>
        </w:rPr>
        <w:t xml:space="preserve">Sekretariatet vil i nogle sager tillige kontakte kontrollanten med henblik på </w:t>
      </w:r>
      <w:r w:rsidRPr="002F7791">
        <w:rPr>
          <w:rFonts w:ascii="Book Antiqua" w:hAnsi="Book Antiqua"/>
          <w:sz w:val="22"/>
          <w:lang w:eastAsia="en-US"/>
        </w:rPr>
        <w:t>uddybende forklaringer vedrørende konkrete forhold</w:t>
      </w:r>
      <w:r>
        <w:rPr>
          <w:rFonts w:ascii="Book Antiqua" w:hAnsi="Book Antiqua"/>
          <w:sz w:val="22"/>
          <w:lang w:eastAsia="en-US"/>
        </w:rPr>
        <w:t xml:space="preserve">. </w:t>
      </w:r>
      <w:r w:rsidR="001145C8" w:rsidRPr="001145C8">
        <w:rPr>
          <w:rFonts w:ascii="Book Antiqua" w:hAnsi="Book Antiqua"/>
          <w:sz w:val="22"/>
          <w:lang w:eastAsia="en-US"/>
        </w:rPr>
        <w:t>I enkelte tilfælde</w:t>
      </w:r>
      <w:r>
        <w:rPr>
          <w:rFonts w:ascii="Book Antiqua" w:hAnsi="Book Antiqua"/>
          <w:sz w:val="22"/>
          <w:lang w:eastAsia="en-US"/>
        </w:rPr>
        <w:t xml:space="preserve"> vil sekretariatet derudover</w:t>
      </w:r>
      <w:r w:rsidR="001145C8" w:rsidRPr="001145C8">
        <w:rPr>
          <w:rFonts w:ascii="Book Antiqua" w:hAnsi="Book Antiqua"/>
          <w:sz w:val="22"/>
          <w:lang w:eastAsia="en-US"/>
        </w:rPr>
        <w:t xml:space="preserve"> indhente yderligere materiale fra den kontrollerede revisor, for eksempel dennes arbejdspapirer. Der vil også kunne være tale om, at Revisortilsynet anmoder kvalitetskontrollanten om at udtage flere enkeltsager til kontrol.</w:t>
      </w:r>
    </w:p>
    <w:p w:rsidR="001145C8" w:rsidRPr="001145C8" w:rsidRDefault="001145C8" w:rsidP="001145C8">
      <w:pPr>
        <w:jc w:val="both"/>
        <w:rPr>
          <w:rFonts w:ascii="Book Antiqua" w:hAnsi="Book Antiqua"/>
          <w:sz w:val="22"/>
          <w:lang w:eastAsia="en-US"/>
        </w:rPr>
      </w:pPr>
    </w:p>
    <w:p w:rsidR="001145C8" w:rsidRPr="001145C8" w:rsidRDefault="001145C8" w:rsidP="001145C8">
      <w:pPr>
        <w:jc w:val="both"/>
        <w:rPr>
          <w:rFonts w:ascii="Book Antiqua" w:hAnsi="Book Antiqua"/>
          <w:sz w:val="22"/>
          <w:lang w:eastAsia="en-US"/>
        </w:rPr>
      </w:pPr>
      <w:r w:rsidRPr="001145C8">
        <w:rPr>
          <w:rFonts w:ascii="Book Antiqua" w:hAnsi="Book Antiqua"/>
          <w:sz w:val="22"/>
          <w:lang w:eastAsia="en-US"/>
        </w:rPr>
        <w:t>Kontrollanten har pligt til at indsende kopi af de arbejdspapirer mv., som Revisortilsynet anmoder om, hurtigst muligt. Hvis kontrollanten undlader at indsende kopi af arbejdspapirerne, eller Revisortilsynet skal anmode om dem flere gange, vil dette indgå i Revisortilsynets vurdering af kvalitetskontrollantens egnethed som kvalitetskontrollant.</w:t>
      </w:r>
    </w:p>
    <w:p w:rsidR="001145C8" w:rsidRPr="001145C8" w:rsidRDefault="001145C8" w:rsidP="001145C8">
      <w:pPr>
        <w:jc w:val="both"/>
        <w:rPr>
          <w:rFonts w:ascii="Book Antiqua" w:hAnsi="Book Antiqua"/>
          <w:sz w:val="22"/>
          <w:lang w:eastAsia="en-US"/>
        </w:rPr>
      </w:pPr>
    </w:p>
    <w:p w:rsidR="001145C8" w:rsidRPr="001145C8" w:rsidRDefault="001145C8" w:rsidP="001145C8">
      <w:pPr>
        <w:jc w:val="both"/>
        <w:rPr>
          <w:rFonts w:ascii="Book Antiqua" w:hAnsi="Book Antiqua"/>
          <w:sz w:val="22"/>
          <w:lang w:eastAsia="en-US"/>
        </w:rPr>
      </w:pPr>
      <w:r w:rsidRPr="001145C8">
        <w:rPr>
          <w:rFonts w:ascii="Book Antiqua" w:hAnsi="Book Antiqua"/>
          <w:sz w:val="22"/>
          <w:lang w:eastAsia="en-US"/>
        </w:rPr>
        <w:t xml:space="preserve">Revisortilsynet kan, hvor tilsynet vurderer det hensigtsmæssigt, indkalde kontrollanten til et møde med Revisortilsynet for at få belyst sagen. Dette kan for eksempel være tilfældet i større </w:t>
      </w:r>
      <w:r w:rsidR="000A2796">
        <w:rPr>
          <w:rFonts w:ascii="Book Antiqua" w:hAnsi="Book Antiqua"/>
          <w:sz w:val="22"/>
          <w:lang w:eastAsia="en-US"/>
        </w:rPr>
        <w:t xml:space="preserve">og </w:t>
      </w:r>
      <w:r w:rsidRPr="001145C8">
        <w:rPr>
          <w:rFonts w:ascii="Book Antiqua" w:hAnsi="Book Antiqua"/>
          <w:sz w:val="22"/>
          <w:lang w:eastAsia="en-US"/>
        </w:rPr>
        <w:t xml:space="preserve">komplekse sager. </w:t>
      </w:r>
    </w:p>
    <w:p w:rsidR="001145C8" w:rsidRDefault="001145C8" w:rsidP="001145C8">
      <w:pPr>
        <w:jc w:val="both"/>
        <w:rPr>
          <w:rFonts w:ascii="Book Antiqua" w:hAnsi="Book Antiqua"/>
          <w:sz w:val="22"/>
          <w:lang w:eastAsia="en-US"/>
        </w:rPr>
      </w:pPr>
    </w:p>
    <w:p w:rsidR="00EF43D0" w:rsidRPr="001145C8" w:rsidRDefault="00EF43D0" w:rsidP="00EF43D0">
      <w:pPr>
        <w:jc w:val="both"/>
        <w:rPr>
          <w:rFonts w:ascii="Book Antiqua" w:hAnsi="Book Antiqua"/>
          <w:sz w:val="22"/>
          <w:lang w:eastAsia="en-US"/>
        </w:rPr>
      </w:pPr>
      <w:r w:rsidRPr="001145C8">
        <w:rPr>
          <w:rFonts w:ascii="Book Antiqua" w:hAnsi="Book Antiqua"/>
          <w:sz w:val="22"/>
          <w:lang w:eastAsia="en-US"/>
        </w:rPr>
        <w:t>Tilsynet afgør ud fra en samlet vurdering</w:t>
      </w:r>
      <w:r>
        <w:rPr>
          <w:rFonts w:ascii="Book Antiqua" w:hAnsi="Book Antiqua"/>
          <w:sz w:val="22"/>
          <w:lang w:eastAsia="en-US"/>
        </w:rPr>
        <w:t xml:space="preserve"> af kvalitetskontrollen</w:t>
      </w:r>
      <w:r w:rsidRPr="001145C8">
        <w:rPr>
          <w:rFonts w:ascii="Book Antiqua" w:hAnsi="Book Antiqua"/>
          <w:sz w:val="22"/>
          <w:lang w:eastAsia="en-US"/>
        </w:rPr>
        <w:t>, om der er grundlag for sanktion</w:t>
      </w:r>
      <w:r w:rsidR="000A2796">
        <w:rPr>
          <w:rFonts w:ascii="Book Antiqua" w:hAnsi="Book Antiqua"/>
          <w:sz w:val="22"/>
          <w:lang w:eastAsia="en-US"/>
        </w:rPr>
        <w:t xml:space="preserve"> overfor revisionsvirksomheden og evt. kontrollerede revisorer</w:t>
      </w:r>
      <w:r w:rsidRPr="001145C8">
        <w:rPr>
          <w:rFonts w:ascii="Book Antiqua" w:hAnsi="Book Antiqua"/>
          <w:sz w:val="22"/>
          <w:lang w:eastAsia="en-US"/>
        </w:rPr>
        <w:t xml:space="preserve">. For at kunne tage stilling hertil, kan der være behov for, at kvalitetskontrollanten over for Revisortilsynet </w:t>
      </w:r>
      <w:r w:rsidRPr="001145C8">
        <w:rPr>
          <w:rFonts w:ascii="Book Antiqua" w:hAnsi="Book Antiqua"/>
          <w:sz w:val="22"/>
          <w:lang w:eastAsia="en-US"/>
        </w:rPr>
        <w:lastRenderedPageBreak/>
        <w:t>afklarer visse spørgsmål eller uddyber de oplysninger, der er i kvalitetskontrollantens erklæring</w:t>
      </w:r>
      <w:r>
        <w:rPr>
          <w:rFonts w:ascii="Book Antiqua" w:hAnsi="Book Antiqua"/>
          <w:sz w:val="22"/>
          <w:lang w:eastAsia="en-US"/>
        </w:rPr>
        <w:t xml:space="preserve"> og/eller arbejdspapirer</w:t>
      </w:r>
      <w:r w:rsidRPr="001145C8">
        <w:rPr>
          <w:rFonts w:ascii="Book Antiqua" w:hAnsi="Book Antiqua"/>
          <w:sz w:val="22"/>
          <w:lang w:eastAsia="en-US"/>
        </w:rPr>
        <w:t xml:space="preserve">. </w:t>
      </w:r>
    </w:p>
    <w:p w:rsidR="00EF43D0" w:rsidRDefault="00EF43D0" w:rsidP="00EF43D0">
      <w:pPr>
        <w:jc w:val="both"/>
        <w:rPr>
          <w:rFonts w:ascii="Book Antiqua" w:hAnsi="Book Antiqua"/>
          <w:sz w:val="22"/>
          <w:lang w:eastAsia="en-US"/>
        </w:rPr>
      </w:pPr>
    </w:p>
    <w:p w:rsidR="001145C8" w:rsidRPr="001145C8" w:rsidRDefault="001145C8" w:rsidP="001145C8">
      <w:pPr>
        <w:keepNext/>
        <w:spacing w:before="240" w:after="60"/>
        <w:outlineLvl w:val="1"/>
        <w:rPr>
          <w:rFonts w:ascii="Book Antiqua" w:hAnsi="Book Antiqua"/>
          <w:b/>
          <w:bCs/>
          <w:i/>
          <w:iCs/>
          <w:sz w:val="28"/>
          <w:lang w:eastAsia="en-US"/>
        </w:rPr>
      </w:pPr>
      <w:bookmarkStart w:id="5" w:name="_Toc328580923"/>
      <w:r w:rsidRPr="001145C8">
        <w:rPr>
          <w:rFonts w:ascii="Book Antiqua" w:hAnsi="Book Antiqua"/>
          <w:b/>
          <w:bCs/>
          <w:i/>
          <w:iCs/>
          <w:sz w:val="28"/>
          <w:lang w:eastAsia="en-US"/>
        </w:rPr>
        <w:t>4. Revisortilsynet lukker sagen</w:t>
      </w:r>
      <w:bookmarkEnd w:id="5"/>
    </w:p>
    <w:p w:rsidR="001145C8" w:rsidRPr="001145C8" w:rsidRDefault="001145C8" w:rsidP="001145C8">
      <w:pPr>
        <w:jc w:val="both"/>
        <w:rPr>
          <w:rFonts w:ascii="Book Antiqua" w:hAnsi="Book Antiqua"/>
          <w:sz w:val="22"/>
          <w:lang w:eastAsia="en-US"/>
        </w:rPr>
      </w:pPr>
      <w:r w:rsidRPr="001145C8">
        <w:rPr>
          <w:rFonts w:ascii="Book Antiqua" w:hAnsi="Book Antiqua"/>
          <w:sz w:val="22"/>
          <w:lang w:eastAsia="en-US"/>
        </w:rPr>
        <w:t>Såfremt Revisortilsynet vurderer, at den gennemførte kvalitetskontrol ikke giver anledning til bemærkninger, eller tilsynet blot har enkelte bemærkninger til den gennemførte kvalitetskontrol, meddeler tilsynet dette til revisionsvirksomheden, hvormed tilsynets kvalitetskontrol af den pågældende revisionsvirksomhed er afsluttet.</w:t>
      </w:r>
      <w:r w:rsidR="00BA106E">
        <w:rPr>
          <w:rFonts w:ascii="Book Antiqua" w:hAnsi="Book Antiqua"/>
          <w:sz w:val="22"/>
          <w:lang w:eastAsia="en-US"/>
        </w:rPr>
        <w:t xml:space="preserve"> Er kvalitetskontrollen udført af en kvalitetskontrollant får kvalitetskontrollanten ligeledes meddelelse om, at kvalitetskontrollen er afsluttet.</w:t>
      </w:r>
    </w:p>
    <w:p w:rsidR="001145C8" w:rsidRPr="001145C8" w:rsidRDefault="001145C8" w:rsidP="001145C8">
      <w:pPr>
        <w:jc w:val="both"/>
        <w:rPr>
          <w:rFonts w:ascii="Book Antiqua" w:hAnsi="Book Antiqua"/>
          <w:sz w:val="22"/>
          <w:lang w:eastAsia="en-US"/>
        </w:rPr>
      </w:pPr>
    </w:p>
    <w:p w:rsidR="001145C8" w:rsidRPr="001145C8" w:rsidRDefault="001145C8" w:rsidP="001145C8">
      <w:pPr>
        <w:keepNext/>
        <w:spacing w:before="240" w:after="60"/>
        <w:outlineLvl w:val="1"/>
        <w:rPr>
          <w:rFonts w:ascii="Book Antiqua" w:hAnsi="Book Antiqua"/>
          <w:b/>
          <w:bCs/>
          <w:i/>
          <w:iCs/>
          <w:sz w:val="28"/>
          <w:lang w:eastAsia="en-US"/>
        </w:rPr>
      </w:pPr>
      <w:bookmarkStart w:id="6" w:name="_Toc328580924"/>
      <w:r w:rsidRPr="001145C8">
        <w:rPr>
          <w:rFonts w:ascii="Book Antiqua" w:hAnsi="Book Antiqua"/>
          <w:b/>
          <w:bCs/>
          <w:i/>
          <w:iCs/>
          <w:sz w:val="28"/>
          <w:lang w:eastAsia="en-US"/>
        </w:rPr>
        <w:t>5. Revisortilsynets sanktioner</w:t>
      </w:r>
      <w:bookmarkEnd w:id="6"/>
    </w:p>
    <w:p w:rsidR="00532AC9" w:rsidRPr="001145C8" w:rsidRDefault="00532AC9" w:rsidP="00532AC9">
      <w:pPr>
        <w:jc w:val="both"/>
        <w:rPr>
          <w:rFonts w:ascii="Book Antiqua" w:hAnsi="Book Antiqua"/>
          <w:sz w:val="22"/>
          <w:lang w:eastAsia="en-US"/>
        </w:rPr>
      </w:pPr>
      <w:r w:rsidRPr="001145C8">
        <w:rPr>
          <w:rFonts w:ascii="Book Antiqua" w:hAnsi="Book Antiqua"/>
          <w:sz w:val="22"/>
          <w:lang w:eastAsia="en-US"/>
        </w:rPr>
        <w:t>Såfremt revisionsvirksomheden eller revisor ikke lever op til lovgivningens krav, har Revisortilsynet følgende muligheder:</w:t>
      </w:r>
    </w:p>
    <w:p w:rsidR="00532AC9" w:rsidRPr="001145C8" w:rsidRDefault="00532AC9" w:rsidP="00532AC9">
      <w:pPr>
        <w:numPr>
          <w:ilvl w:val="0"/>
          <w:numId w:val="1"/>
        </w:numPr>
        <w:jc w:val="both"/>
        <w:rPr>
          <w:rFonts w:ascii="Book Antiqua" w:hAnsi="Book Antiqua"/>
          <w:sz w:val="22"/>
          <w:lang w:eastAsia="en-US"/>
        </w:rPr>
      </w:pPr>
      <w:r w:rsidRPr="001145C8">
        <w:rPr>
          <w:rFonts w:ascii="Book Antiqua" w:hAnsi="Book Antiqua"/>
          <w:sz w:val="22"/>
          <w:lang w:eastAsia="en-US"/>
        </w:rPr>
        <w:t>Påtale, med angivelse af, at tilsynet forventer, at revisionsvirksomheden snarest vil bringe de påtalte forhold i orden</w:t>
      </w:r>
      <w:r w:rsidR="00E05E0E">
        <w:rPr>
          <w:rFonts w:ascii="Book Antiqua" w:hAnsi="Book Antiqua"/>
          <w:sz w:val="22"/>
          <w:lang w:eastAsia="en-US"/>
        </w:rPr>
        <w:t>,</w:t>
      </w:r>
    </w:p>
    <w:p w:rsidR="00532AC9" w:rsidRDefault="00532AC9" w:rsidP="00532AC9">
      <w:pPr>
        <w:numPr>
          <w:ilvl w:val="0"/>
          <w:numId w:val="1"/>
        </w:numPr>
        <w:jc w:val="both"/>
        <w:rPr>
          <w:rFonts w:ascii="Book Antiqua" w:hAnsi="Book Antiqua"/>
          <w:sz w:val="22"/>
          <w:lang w:eastAsia="en-US"/>
        </w:rPr>
      </w:pPr>
      <w:r w:rsidRPr="001145C8">
        <w:rPr>
          <w:rFonts w:ascii="Book Antiqua" w:hAnsi="Book Antiqua"/>
          <w:sz w:val="22"/>
          <w:lang w:eastAsia="en-US"/>
        </w:rPr>
        <w:t>Påtale over for en revisor vedrørende udførelsen af en eller flere enkelte konkrete sager, med kopi til revisionsvirksomheden</w:t>
      </w:r>
      <w:r w:rsidR="00E05E0E">
        <w:rPr>
          <w:rFonts w:ascii="Book Antiqua" w:hAnsi="Book Antiqua"/>
          <w:sz w:val="22"/>
          <w:lang w:eastAsia="en-US"/>
        </w:rPr>
        <w:t>,</w:t>
      </w:r>
    </w:p>
    <w:p w:rsidR="00E05E0E" w:rsidRPr="001145C8" w:rsidRDefault="00E05E0E" w:rsidP="00E05E0E">
      <w:pPr>
        <w:numPr>
          <w:ilvl w:val="0"/>
          <w:numId w:val="1"/>
        </w:numPr>
        <w:jc w:val="both"/>
        <w:rPr>
          <w:rFonts w:ascii="Book Antiqua" w:hAnsi="Book Antiqua"/>
          <w:sz w:val="22"/>
          <w:lang w:val="nb-NO" w:eastAsia="en-US"/>
        </w:rPr>
      </w:pPr>
      <w:r w:rsidRPr="001145C8">
        <w:rPr>
          <w:rFonts w:ascii="Book Antiqua" w:hAnsi="Book Antiqua"/>
          <w:sz w:val="22"/>
          <w:lang w:val="nb-NO" w:eastAsia="en-US"/>
        </w:rPr>
        <w:t>Påtale og fornyet kvalitetskontrol (</w:t>
      </w:r>
      <w:r>
        <w:rPr>
          <w:rFonts w:ascii="Book Antiqua" w:hAnsi="Book Antiqua"/>
          <w:sz w:val="22"/>
          <w:lang w:val="nb-NO" w:eastAsia="en-US"/>
        </w:rPr>
        <w:t>fuld</w:t>
      </w:r>
      <w:r w:rsidRPr="001145C8">
        <w:rPr>
          <w:rFonts w:ascii="Book Antiqua" w:hAnsi="Book Antiqua"/>
          <w:sz w:val="22"/>
          <w:lang w:val="nb-NO" w:eastAsia="en-US"/>
        </w:rPr>
        <w:t xml:space="preserve"> eller delvis)</w:t>
      </w:r>
      <w:r>
        <w:rPr>
          <w:rFonts w:ascii="Book Antiqua" w:hAnsi="Book Antiqua"/>
          <w:sz w:val="22"/>
          <w:lang w:val="nb-NO" w:eastAsia="en-US"/>
        </w:rPr>
        <w:t>,</w:t>
      </w:r>
    </w:p>
    <w:p w:rsidR="00E05E0E" w:rsidRPr="001145C8" w:rsidRDefault="00E05E0E" w:rsidP="00E05E0E">
      <w:pPr>
        <w:numPr>
          <w:ilvl w:val="0"/>
          <w:numId w:val="1"/>
        </w:numPr>
        <w:jc w:val="both"/>
        <w:rPr>
          <w:rFonts w:ascii="Book Antiqua" w:hAnsi="Book Antiqua"/>
          <w:sz w:val="22"/>
          <w:lang w:eastAsia="en-US"/>
        </w:rPr>
      </w:pPr>
      <w:r w:rsidRPr="001145C8">
        <w:rPr>
          <w:rFonts w:ascii="Book Antiqua" w:hAnsi="Book Antiqua"/>
          <w:sz w:val="22"/>
          <w:lang w:eastAsia="en-US"/>
        </w:rPr>
        <w:t>Oversende revisionsvirksomheden og/eller revisor til Revisornævnet, hvilket som udgangspunkt også indebærer påtale og fornyet kvalitetskontrol (</w:t>
      </w:r>
      <w:r>
        <w:rPr>
          <w:rFonts w:ascii="Book Antiqua" w:hAnsi="Book Antiqua"/>
          <w:sz w:val="22"/>
          <w:lang w:eastAsia="en-US"/>
        </w:rPr>
        <w:t>fuld</w:t>
      </w:r>
      <w:r w:rsidRPr="001145C8">
        <w:rPr>
          <w:rFonts w:ascii="Book Antiqua" w:hAnsi="Book Antiqua"/>
          <w:sz w:val="22"/>
          <w:lang w:eastAsia="en-US"/>
        </w:rPr>
        <w:t xml:space="preserve"> eller delvis),</w:t>
      </w:r>
    </w:p>
    <w:p w:rsidR="00E05E0E" w:rsidRPr="001145C8" w:rsidRDefault="00E05E0E" w:rsidP="00C55D4E">
      <w:pPr>
        <w:ind w:left="360"/>
        <w:jc w:val="both"/>
        <w:rPr>
          <w:rFonts w:ascii="Book Antiqua" w:hAnsi="Book Antiqua"/>
          <w:sz w:val="22"/>
          <w:lang w:eastAsia="en-US"/>
        </w:rPr>
      </w:pPr>
    </w:p>
    <w:p w:rsidR="00532AC9" w:rsidRDefault="00532AC9" w:rsidP="001145C8">
      <w:pPr>
        <w:jc w:val="both"/>
        <w:rPr>
          <w:rFonts w:ascii="Book Antiqua" w:hAnsi="Book Antiqua"/>
          <w:sz w:val="22"/>
          <w:lang w:eastAsia="en-US"/>
        </w:rPr>
      </w:pPr>
    </w:p>
    <w:p w:rsidR="00532AC9" w:rsidRDefault="007F4EAF" w:rsidP="001145C8">
      <w:pPr>
        <w:jc w:val="both"/>
        <w:rPr>
          <w:rFonts w:ascii="Book Antiqua" w:hAnsi="Book Antiqua"/>
          <w:sz w:val="22"/>
          <w:lang w:eastAsia="en-US"/>
        </w:rPr>
      </w:pPr>
      <w:r w:rsidRPr="007F4EAF">
        <w:rPr>
          <w:rFonts w:ascii="Book Antiqua" w:hAnsi="Book Antiqua"/>
          <w:sz w:val="22"/>
          <w:lang w:eastAsia="en-US"/>
        </w:rPr>
        <w:t>Revisortilsynets afgørelse beror ALTID på en konkret bedømmelse af de konstaterede forhold ved hver enkelt kvalitetskontrol.</w:t>
      </w:r>
    </w:p>
    <w:p w:rsidR="007F4EAF" w:rsidRDefault="007F4EAF" w:rsidP="001145C8">
      <w:pPr>
        <w:jc w:val="both"/>
        <w:rPr>
          <w:rFonts w:ascii="Book Antiqua" w:hAnsi="Book Antiqua"/>
          <w:sz w:val="22"/>
          <w:lang w:eastAsia="en-US"/>
        </w:rPr>
      </w:pPr>
    </w:p>
    <w:p w:rsidR="007F4EAF" w:rsidRPr="007F4EAF" w:rsidRDefault="007F4EAF" w:rsidP="007F4EAF">
      <w:pPr>
        <w:jc w:val="both"/>
        <w:rPr>
          <w:rFonts w:ascii="Book Antiqua" w:hAnsi="Book Antiqua"/>
          <w:sz w:val="22"/>
          <w:lang w:eastAsia="en-US"/>
        </w:rPr>
      </w:pPr>
      <w:r w:rsidRPr="007F4EAF">
        <w:rPr>
          <w:rFonts w:ascii="Book Antiqua" w:hAnsi="Book Antiqua"/>
          <w:sz w:val="22"/>
          <w:lang w:eastAsia="en-US"/>
        </w:rPr>
        <w:t>Tilsynet sikre</w:t>
      </w:r>
      <w:r w:rsidR="000A2796">
        <w:rPr>
          <w:rFonts w:ascii="Book Antiqua" w:hAnsi="Book Antiqua"/>
          <w:sz w:val="22"/>
          <w:lang w:eastAsia="en-US"/>
        </w:rPr>
        <w:t>r</w:t>
      </w:r>
      <w:r w:rsidRPr="007F4EAF">
        <w:rPr>
          <w:rFonts w:ascii="Book Antiqua" w:hAnsi="Book Antiqua"/>
          <w:sz w:val="22"/>
          <w:lang w:eastAsia="en-US"/>
        </w:rPr>
        <w:t>, at kvalitetskontrollen gennemføres i overensstemmelse med lovens regler. Tilsynet forholder sig derfor til den</w:t>
      </w:r>
      <w:r>
        <w:rPr>
          <w:rFonts w:ascii="Book Antiqua" w:hAnsi="Book Antiqua"/>
          <w:sz w:val="22"/>
          <w:lang w:eastAsia="en-US"/>
        </w:rPr>
        <w:t xml:space="preserve"> afgivne</w:t>
      </w:r>
      <w:r w:rsidRPr="007F4EAF">
        <w:rPr>
          <w:rFonts w:ascii="Book Antiqua" w:hAnsi="Book Antiqua"/>
          <w:sz w:val="22"/>
          <w:lang w:eastAsia="en-US"/>
        </w:rPr>
        <w:t xml:space="preserve"> erklæring, som </w:t>
      </w:r>
      <w:r>
        <w:rPr>
          <w:rFonts w:ascii="Book Antiqua" w:hAnsi="Book Antiqua"/>
          <w:sz w:val="22"/>
          <w:lang w:eastAsia="en-US"/>
        </w:rPr>
        <w:t>kvalitets</w:t>
      </w:r>
      <w:r w:rsidRPr="007F4EAF">
        <w:rPr>
          <w:rFonts w:ascii="Book Antiqua" w:hAnsi="Book Antiqua"/>
          <w:sz w:val="22"/>
          <w:lang w:eastAsia="en-US"/>
        </w:rPr>
        <w:t xml:space="preserve">kontrollanten har afgivet, men er ikke bundet af dens indhold. </w:t>
      </w:r>
      <w:r w:rsidR="00A85504" w:rsidRPr="00A85504">
        <w:rPr>
          <w:rFonts w:ascii="Book Antiqua" w:hAnsi="Book Antiqua"/>
          <w:sz w:val="22"/>
          <w:lang w:eastAsia="en-US"/>
        </w:rPr>
        <w:t>I nogle tilfælde bliver sekretariatet under sagsbehandlingen opmærksom på fejl og mangler, som kontrollanten ikke har rapporteret til Revisortilsynet. Sådanne forhold kan også indgå i Revisortilsynets afgørelser.</w:t>
      </w:r>
    </w:p>
    <w:p w:rsidR="007F4EAF" w:rsidRPr="007F4EAF" w:rsidRDefault="007F4EAF" w:rsidP="007F4EAF">
      <w:pPr>
        <w:jc w:val="both"/>
        <w:rPr>
          <w:rFonts w:ascii="Book Antiqua" w:hAnsi="Book Antiqua"/>
          <w:sz w:val="22"/>
          <w:lang w:eastAsia="en-US"/>
        </w:rPr>
      </w:pPr>
    </w:p>
    <w:p w:rsidR="007F4EAF" w:rsidRDefault="007F4EAF" w:rsidP="007F4EAF">
      <w:pPr>
        <w:jc w:val="both"/>
        <w:rPr>
          <w:rFonts w:ascii="Book Antiqua" w:hAnsi="Book Antiqua"/>
          <w:sz w:val="22"/>
          <w:lang w:eastAsia="en-US"/>
        </w:rPr>
      </w:pPr>
      <w:r w:rsidRPr="007F4EAF">
        <w:rPr>
          <w:rFonts w:ascii="Book Antiqua" w:hAnsi="Book Antiqua"/>
          <w:sz w:val="22"/>
          <w:lang w:eastAsia="en-US"/>
        </w:rPr>
        <w:t>Tilsynet er således ikke bundet af de f</w:t>
      </w:r>
      <w:r>
        <w:rPr>
          <w:rFonts w:ascii="Book Antiqua" w:hAnsi="Book Antiqua"/>
          <w:sz w:val="22"/>
          <w:lang w:eastAsia="en-US"/>
        </w:rPr>
        <w:t>orhold</w:t>
      </w:r>
      <w:r w:rsidRPr="007F4EAF">
        <w:rPr>
          <w:rFonts w:ascii="Book Antiqua" w:hAnsi="Book Antiqua"/>
          <w:sz w:val="22"/>
          <w:lang w:eastAsia="en-US"/>
        </w:rPr>
        <w:t xml:space="preserve">, som kontrollanten har lagt til grund for sin erklæring, eller af kontrollantens </w:t>
      </w:r>
      <w:r w:rsidR="00BC4C46">
        <w:rPr>
          <w:rFonts w:ascii="Book Antiqua" w:hAnsi="Book Antiqua"/>
          <w:sz w:val="22"/>
          <w:lang w:eastAsia="en-US"/>
        </w:rPr>
        <w:t>vurdering</w:t>
      </w:r>
      <w:r w:rsidRPr="007F4EAF">
        <w:rPr>
          <w:rFonts w:ascii="Book Antiqua" w:hAnsi="Book Antiqua"/>
          <w:sz w:val="22"/>
          <w:lang w:eastAsia="en-US"/>
        </w:rPr>
        <w:t xml:space="preserve">, men </w:t>
      </w:r>
      <w:r w:rsidR="000A2796">
        <w:rPr>
          <w:rFonts w:ascii="Book Antiqua" w:hAnsi="Book Antiqua"/>
          <w:sz w:val="22"/>
          <w:lang w:eastAsia="en-US"/>
        </w:rPr>
        <w:t>kan</w:t>
      </w:r>
      <w:r w:rsidRPr="007F4EAF">
        <w:rPr>
          <w:rFonts w:ascii="Book Antiqua" w:hAnsi="Book Antiqua"/>
          <w:sz w:val="22"/>
          <w:lang w:eastAsia="en-US"/>
        </w:rPr>
        <w:t xml:space="preserve"> inddrage forhold, som ikke har ført til enten et forbehold el</w:t>
      </w:r>
      <w:r>
        <w:rPr>
          <w:rFonts w:ascii="Book Antiqua" w:hAnsi="Book Antiqua"/>
          <w:sz w:val="22"/>
          <w:lang w:eastAsia="en-US"/>
        </w:rPr>
        <w:t xml:space="preserve">ler en supplerende oplysning i </w:t>
      </w:r>
      <w:r w:rsidRPr="007F4EAF">
        <w:rPr>
          <w:rFonts w:ascii="Book Antiqua" w:hAnsi="Book Antiqua"/>
          <w:sz w:val="22"/>
          <w:lang w:eastAsia="en-US"/>
        </w:rPr>
        <w:t xml:space="preserve">kontrollantens erklæring. Tilsynet </w:t>
      </w:r>
      <w:r w:rsidR="000A2796">
        <w:rPr>
          <w:rFonts w:ascii="Book Antiqua" w:hAnsi="Book Antiqua"/>
          <w:sz w:val="22"/>
          <w:lang w:eastAsia="en-US"/>
        </w:rPr>
        <w:t>kan</w:t>
      </w:r>
      <w:r w:rsidR="000A2796" w:rsidRPr="007F4EAF">
        <w:rPr>
          <w:rFonts w:ascii="Book Antiqua" w:hAnsi="Book Antiqua"/>
          <w:sz w:val="22"/>
          <w:lang w:eastAsia="en-US"/>
        </w:rPr>
        <w:t xml:space="preserve"> </w:t>
      </w:r>
      <w:r w:rsidRPr="007F4EAF">
        <w:rPr>
          <w:rFonts w:ascii="Book Antiqua" w:hAnsi="Book Antiqua"/>
          <w:sz w:val="22"/>
          <w:lang w:eastAsia="en-US"/>
        </w:rPr>
        <w:t>herved sætte sin egen vurdering i stedet og selvstændigt tage stilling til, om der foreligger fejl, mangler eller forbedringsområder hos den kontrollerede revisionsvirksomhed.</w:t>
      </w:r>
    </w:p>
    <w:p w:rsidR="007F4EAF" w:rsidRDefault="007F4EAF" w:rsidP="001145C8">
      <w:pPr>
        <w:jc w:val="both"/>
        <w:rPr>
          <w:rFonts w:ascii="Book Antiqua" w:hAnsi="Book Antiqua"/>
          <w:sz w:val="22"/>
          <w:lang w:eastAsia="en-US"/>
        </w:rPr>
      </w:pPr>
    </w:p>
    <w:p w:rsidR="00D933F0" w:rsidRDefault="00D933F0" w:rsidP="001145C8">
      <w:pPr>
        <w:jc w:val="both"/>
        <w:rPr>
          <w:rFonts w:ascii="Book Antiqua" w:hAnsi="Book Antiqua"/>
          <w:sz w:val="22"/>
          <w:lang w:eastAsia="en-US"/>
        </w:rPr>
      </w:pPr>
      <w:r>
        <w:rPr>
          <w:rFonts w:ascii="Book Antiqua" w:hAnsi="Book Antiqua"/>
          <w:sz w:val="22"/>
          <w:lang w:eastAsia="en-US"/>
        </w:rPr>
        <w:t>Revisortilsynet giver Erhvervsstyrelsen meddelelse, hvis der er konstateret overtrædelse i forbindelse med kontrol af følgende:</w:t>
      </w:r>
    </w:p>
    <w:p w:rsidR="00D933F0" w:rsidRDefault="00D933F0" w:rsidP="001145C8">
      <w:pPr>
        <w:jc w:val="both"/>
        <w:rPr>
          <w:rFonts w:ascii="Book Antiqua" w:hAnsi="Book Antiqua"/>
          <w:sz w:val="22"/>
          <w:lang w:eastAsia="en-US"/>
        </w:rPr>
      </w:pPr>
    </w:p>
    <w:p w:rsidR="00D933F0" w:rsidRPr="00852905" w:rsidRDefault="00D933F0" w:rsidP="00852905">
      <w:pPr>
        <w:pStyle w:val="liste1"/>
        <w:numPr>
          <w:ilvl w:val="0"/>
          <w:numId w:val="2"/>
        </w:numPr>
        <w:rPr>
          <w:rFonts w:ascii="Book Antiqua" w:hAnsi="Book Antiqua"/>
          <w:sz w:val="22"/>
          <w:szCs w:val="22"/>
        </w:rPr>
      </w:pPr>
      <w:r w:rsidRPr="00852905">
        <w:rPr>
          <w:rFonts w:ascii="Book Antiqua" w:hAnsi="Book Antiqua"/>
          <w:sz w:val="22"/>
          <w:szCs w:val="22"/>
        </w:rPr>
        <w:t>at virksomheden har en ajourført ejer- og medlemsfortegnelse, jf. § 3 i bekendtgørelse nr. 662 af 26. juni 2008 om revisionsvirksomhed, og at ejerbestemmelserne i revisorlovens § 13, stk. 2-5, er overholdt,</w:t>
      </w:r>
    </w:p>
    <w:p w:rsidR="00D933F0" w:rsidRPr="00852905" w:rsidRDefault="00D933F0" w:rsidP="00D933F0">
      <w:pPr>
        <w:pStyle w:val="liste1"/>
        <w:numPr>
          <w:ilvl w:val="0"/>
          <w:numId w:val="2"/>
        </w:numPr>
        <w:rPr>
          <w:rFonts w:ascii="Book Antiqua" w:hAnsi="Book Antiqua"/>
          <w:sz w:val="22"/>
          <w:szCs w:val="22"/>
        </w:rPr>
      </w:pPr>
      <w:r w:rsidRPr="00852905">
        <w:rPr>
          <w:rFonts w:ascii="Book Antiqua" w:hAnsi="Book Antiqua"/>
          <w:sz w:val="22"/>
          <w:szCs w:val="22"/>
        </w:rPr>
        <w:t>at de til virksomheden tilknyttede revisorer har gennemgået og indberettet den obligatoriske efteruddannelse efter revisorlovens § 4 og regler udstedt i medfør heraf, og</w:t>
      </w:r>
    </w:p>
    <w:p w:rsidR="00D933F0" w:rsidRPr="00852905" w:rsidRDefault="00D933F0" w:rsidP="00D933F0">
      <w:pPr>
        <w:pStyle w:val="liste1"/>
        <w:numPr>
          <w:ilvl w:val="0"/>
          <w:numId w:val="2"/>
        </w:numPr>
        <w:rPr>
          <w:rFonts w:ascii="Book Antiqua" w:hAnsi="Book Antiqua"/>
          <w:sz w:val="22"/>
          <w:szCs w:val="22"/>
        </w:rPr>
      </w:pPr>
      <w:r w:rsidRPr="00852905">
        <w:rPr>
          <w:rFonts w:ascii="Book Antiqua" w:hAnsi="Book Antiqua"/>
          <w:sz w:val="22"/>
          <w:szCs w:val="22"/>
        </w:rPr>
        <w:t xml:space="preserve">at virksomheden har udarbejdet tilstrækkelige skriftlige interne regler om kundelegitimation, indberetning til hvidvasksekretariatet mv. for at forebygge og </w:t>
      </w:r>
      <w:r w:rsidRPr="00852905">
        <w:rPr>
          <w:rFonts w:ascii="Book Antiqua" w:hAnsi="Book Antiqua"/>
          <w:sz w:val="22"/>
          <w:szCs w:val="22"/>
        </w:rPr>
        <w:lastRenderedPageBreak/>
        <w:t>forhindre hvidvask og terrorfinansiering hos virksomhedens kunder, jf. hvidvasklovens § 25, stk. 1.</w:t>
      </w:r>
    </w:p>
    <w:p w:rsidR="00D933F0" w:rsidRDefault="00D933F0" w:rsidP="001145C8">
      <w:pPr>
        <w:jc w:val="both"/>
        <w:rPr>
          <w:rFonts w:ascii="Book Antiqua" w:hAnsi="Book Antiqua"/>
          <w:sz w:val="22"/>
          <w:lang w:eastAsia="en-US"/>
        </w:rPr>
      </w:pPr>
    </w:p>
    <w:p w:rsidR="00D933F0" w:rsidRPr="00506935" w:rsidRDefault="00D933F0" w:rsidP="001145C8">
      <w:pPr>
        <w:jc w:val="both"/>
        <w:rPr>
          <w:rFonts w:ascii="Book Antiqua" w:hAnsi="Book Antiqua"/>
          <w:b/>
          <w:i/>
          <w:sz w:val="28"/>
          <w:szCs w:val="28"/>
          <w:lang w:eastAsia="en-US"/>
        </w:rPr>
      </w:pPr>
      <w:r w:rsidRPr="00506935">
        <w:rPr>
          <w:rFonts w:ascii="Book Antiqua" w:hAnsi="Book Antiqua"/>
          <w:b/>
          <w:i/>
          <w:sz w:val="28"/>
          <w:szCs w:val="28"/>
          <w:lang w:eastAsia="en-US"/>
        </w:rPr>
        <w:t>6. Høring</w:t>
      </w:r>
    </w:p>
    <w:p w:rsidR="00E374F6" w:rsidRDefault="001145C8" w:rsidP="001145C8">
      <w:pPr>
        <w:jc w:val="both"/>
        <w:rPr>
          <w:rFonts w:ascii="Book Antiqua" w:hAnsi="Book Antiqua"/>
          <w:sz w:val="22"/>
          <w:lang w:eastAsia="en-US"/>
        </w:rPr>
      </w:pPr>
      <w:r w:rsidRPr="001145C8">
        <w:rPr>
          <w:rFonts w:ascii="Book Antiqua" w:hAnsi="Book Antiqua"/>
          <w:sz w:val="22"/>
          <w:lang w:eastAsia="en-US"/>
        </w:rPr>
        <w:t>I de sager, hvor Revisortilsynet finder, at der bør anvendes sanktioner</w:t>
      </w:r>
      <w:r w:rsidR="00D933F0">
        <w:rPr>
          <w:rFonts w:ascii="Book Antiqua" w:hAnsi="Book Antiqua"/>
          <w:sz w:val="22"/>
          <w:lang w:eastAsia="en-US"/>
        </w:rPr>
        <w:t xml:space="preserve"> og/eller hvis der sker meddelelse til Erhvervsstyrelsen</w:t>
      </w:r>
      <w:r w:rsidRPr="001145C8">
        <w:rPr>
          <w:rFonts w:ascii="Book Antiqua" w:hAnsi="Book Antiqua"/>
          <w:sz w:val="22"/>
          <w:lang w:eastAsia="en-US"/>
        </w:rPr>
        <w:t xml:space="preserve">, vil Revisortilsynet sende </w:t>
      </w:r>
      <w:r w:rsidR="00BA106E">
        <w:rPr>
          <w:rFonts w:ascii="Book Antiqua" w:hAnsi="Book Antiqua"/>
          <w:sz w:val="22"/>
          <w:lang w:eastAsia="en-US"/>
        </w:rPr>
        <w:t xml:space="preserve">et høringsbrev </w:t>
      </w:r>
      <w:r w:rsidRPr="001145C8">
        <w:rPr>
          <w:rFonts w:ascii="Book Antiqua" w:hAnsi="Book Antiqua"/>
          <w:sz w:val="22"/>
          <w:lang w:eastAsia="en-US"/>
        </w:rPr>
        <w:t>med udkast til afgørelse til den kontrollerede revisionsvirksomhed</w:t>
      </w:r>
      <w:r w:rsidR="00E374F6">
        <w:rPr>
          <w:rFonts w:ascii="Book Antiqua" w:hAnsi="Book Antiqua"/>
          <w:sz w:val="22"/>
          <w:lang w:eastAsia="en-US"/>
        </w:rPr>
        <w:t xml:space="preserve"> og eventuelt til kontrollerede revisorer</w:t>
      </w:r>
      <w:r w:rsidRPr="001145C8">
        <w:rPr>
          <w:rFonts w:ascii="Book Antiqua" w:hAnsi="Book Antiqua"/>
          <w:sz w:val="22"/>
          <w:lang w:eastAsia="en-US"/>
        </w:rPr>
        <w:t xml:space="preserve">. </w:t>
      </w:r>
      <w:r w:rsidR="00BA106E" w:rsidRPr="00BA106E">
        <w:rPr>
          <w:rFonts w:ascii="Book Antiqua" w:hAnsi="Book Antiqua"/>
          <w:sz w:val="22"/>
          <w:lang w:eastAsia="en-US"/>
        </w:rPr>
        <w:t xml:space="preserve">Er kvalitetskontrollen udført af en kvalitetskontrollant </w:t>
      </w:r>
      <w:r w:rsidRPr="001145C8">
        <w:rPr>
          <w:rFonts w:ascii="Book Antiqua" w:hAnsi="Book Antiqua"/>
          <w:sz w:val="22"/>
          <w:lang w:eastAsia="en-US"/>
        </w:rPr>
        <w:t xml:space="preserve">vil </w:t>
      </w:r>
      <w:r w:rsidR="00BA106E">
        <w:rPr>
          <w:rFonts w:ascii="Book Antiqua" w:hAnsi="Book Antiqua"/>
          <w:sz w:val="22"/>
          <w:lang w:eastAsia="en-US"/>
        </w:rPr>
        <w:t>k</w:t>
      </w:r>
      <w:r w:rsidR="00BA106E" w:rsidRPr="001145C8">
        <w:rPr>
          <w:rFonts w:ascii="Book Antiqua" w:hAnsi="Book Antiqua"/>
          <w:sz w:val="22"/>
          <w:lang w:eastAsia="en-US"/>
        </w:rPr>
        <w:t xml:space="preserve">valitetskontrollanten </w:t>
      </w:r>
      <w:r w:rsidRPr="001145C8">
        <w:rPr>
          <w:rFonts w:ascii="Book Antiqua" w:hAnsi="Book Antiqua"/>
          <w:sz w:val="22"/>
          <w:lang w:eastAsia="en-US"/>
        </w:rPr>
        <w:t xml:space="preserve">modtage kopi af høringsbrevet pr. e-mail. </w:t>
      </w:r>
    </w:p>
    <w:p w:rsidR="00E374F6" w:rsidRDefault="00E374F6" w:rsidP="001145C8">
      <w:pPr>
        <w:jc w:val="both"/>
        <w:rPr>
          <w:rFonts w:ascii="Book Antiqua" w:hAnsi="Book Antiqua"/>
          <w:sz w:val="22"/>
          <w:lang w:eastAsia="en-US"/>
        </w:rPr>
      </w:pPr>
    </w:p>
    <w:p w:rsidR="00532AC9" w:rsidRDefault="001145C8" w:rsidP="001145C8">
      <w:pPr>
        <w:jc w:val="both"/>
        <w:rPr>
          <w:rFonts w:ascii="Book Antiqua" w:hAnsi="Book Antiqua"/>
          <w:sz w:val="22"/>
          <w:lang w:eastAsia="en-US"/>
        </w:rPr>
      </w:pPr>
      <w:r w:rsidRPr="001145C8">
        <w:rPr>
          <w:rFonts w:ascii="Book Antiqua" w:hAnsi="Book Antiqua"/>
          <w:sz w:val="22"/>
          <w:lang w:eastAsia="en-US"/>
        </w:rPr>
        <w:t>Når høringsfristen er udløbet, og sagen eventuelt er belyst yderligere, vil tilsynet træffe sin endelige afgørelse</w:t>
      </w:r>
      <w:r w:rsidR="00E374F6">
        <w:rPr>
          <w:rFonts w:ascii="Book Antiqua" w:hAnsi="Book Antiqua"/>
          <w:sz w:val="22"/>
          <w:lang w:eastAsia="en-US"/>
        </w:rPr>
        <w:t>.</w:t>
      </w:r>
      <w:r w:rsidR="00532AC9">
        <w:rPr>
          <w:rFonts w:ascii="Book Antiqua" w:hAnsi="Book Antiqua"/>
          <w:sz w:val="22"/>
          <w:lang w:eastAsia="en-US"/>
        </w:rPr>
        <w:t xml:space="preserve"> Sekretariatet kontakter i nogle tilfælde kvalitetskontrollanten for afklaringe</w:t>
      </w:r>
      <w:r w:rsidR="002A6A6F">
        <w:rPr>
          <w:rFonts w:ascii="Book Antiqua" w:hAnsi="Book Antiqua"/>
          <w:sz w:val="22"/>
          <w:lang w:eastAsia="en-US"/>
        </w:rPr>
        <w:t xml:space="preserve">r i forbindelse med de modtagne bemærkninger fra revisionsvirksomheden og/eller </w:t>
      </w:r>
      <w:r w:rsidR="003D638A">
        <w:rPr>
          <w:rFonts w:ascii="Book Antiqua" w:hAnsi="Book Antiqua"/>
          <w:sz w:val="22"/>
          <w:lang w:eastAsia="en-US"/>
        </w:rPr>
        <w:t xml:space="preserve">de </w:t>
      </w:r>
      <w:r w:rsidR="002A6A6F">
        <w:rPr>
          <w:rFonts w:ascii="Book Antiqua" w:hAnsi="Book Antiqua"/>
          <w:sz w:val="22"/>
          <w:lang w:eastAsia="en-US"/>
        </w:rPr>
        <w:t>kontrollerede</w:t>
      </w:r>
      <w:r w:rsidR="003D638A">
        <w:rPr>
          <w:rFonts w:ascii="Book Antiqua" w:hAnsi="Book Antiqua"/>
          <w:sz w:val="22"/>
          <w:lang w:eastAsia="en-US"/>
        </w:rPr>
        <w:t>,</w:t>
      </w:r>
      <w:r w:rsidR="002A6A6F">
        <w:rPr>
          <w:rFonts w:ascii="Book Antiqua" w:hAnsi="Book Antiqua"/>
          <w:sz w:val="22"/>
          <w:lang w:eastAsia="en-US"/>
        </w:rPr>
        <w:t xml:space="preserve"> inden der udarbejdes en afgørelse. </w:t>
      </w:r>
    </w:p>
    <w:p w:rsidR="00532AC9" w:rsidRDefault="00532AC9" w:rsidP="001145C8">
      <w:pPr>
        <w:jc w:val="both"/>
        <w:rPr>
          <w:rFonts w:ascii="Book Antiqua" w:hAnsi="Book Antiqua"/>
          <w:sz w:val="22"/>
          <w:lang w:eastAsia="en-US"/>
        </w:rPr>
      </w:pPr>
    </w:p>
    <w:p w:rsidR="001145C8" w:rsidRPr="001145C8" w:rsidRDefault="00E374F6" w:rsidP="001145C8">
      <w:pPr>
        <w:jc w:val="both"/>
        <w:rPr>
          <w:rFonts w:ascii="Book Antiqua" w:hAnsi="Book Antiqua"/>
          <w:sz w:val="22"/>
          <w:lang w:eastAsia="en-US"/>
        </w:rPr>
      </w:pPr>
      <w:r>
        <w:rPr>
          <w:rFonts w:ascii="Book Antiqua" w:hAnsi="Book Antiqua"/>
          <w:sz w:val="22"/>
          <w:lang w:eastAsia="en-US"/>
        </w:rPr>
        <w:t>Er der ved høringen fremkommet nye oplysninger</w:t>
      </w:r>
      <w:r w:rsidR="00BA106E">
        <w:rPr>
          <w:rFonts w:ascii="Book Antiqua" w:hAnsi="Book Antiqua"/>
          <w:sz w:val="22"/>
          <w:lang w:eastAsia="en-US"/>
        </w:rPr>
        <w:t>,</w:t>
      </w:r>
      <w:r>
        <w:rPr>
          <w:rFonts w:ascii="Book Antiqua" w:hAnsi="Book Antiqua"/>
          <w:sz w:val="22"/>
          <w:lang w:eastAsia="en-US"/>
        </w:rPr>
        <w:t xml:space="preserve"> som ændrer </w:t>
      </w:r>
      <w:r w:rsidR="00BA106E">
        <w:rPr>
          <w:rFonts w:ascii="Book Antiqua" w:hAnsi="Book Antiqua"/>
          <w:sz w:val="22"/>
          <w:lang w:eastAsia="en-US"/>
        </w:rPr>
        <w:t>radikalt ved den påtænkte afgørelse vil Revisortilsynet</w:t>
      </w:r>
      <w:r w:rsidR="001145C8" w:rsidRPr="001145C8">
        <w:rPr>
          <w:rFonts w:ascii="Book Antiqua" w:hAnsi="Book Antiqua"/>
          <w:sz w:val="22"/>
          <w:lang w:eastAsia="en-US"/>
        </w:rPr>
        <w:t xml:space="preserve"> foretage en ny høring</w:t>
      </w:r>
      <w:r w:rsidR="00BA106E">
        <w:rPr>
          <w:rFonts w:ascii="Book Antiqua" w:hAnsi="Book Antiqua"/>
          <w:sz w:val="22"/>
          <w:lang w:eastAsia="en-US"/>
        </w:rPr>
        <w:t xml:space="preserve"> med et nyt udkast til afgørelse</w:t>
      </w:r>
      <w:r w:rsidR="001145C8" w:rsidRPr="001145C8">
        <w:rPr>
          <w:rFonts w:ascii="Book Antiqua" w:hAnsi="Book Antiqua"/>
          <w:sz w:val="22"/>
          <w:lang w:eastAsia="en-US"/>
        </w:rPr>
        <w:t xml:space="preserve">. Kontrollanten vil </w:t>
      </w:r>
      <w:r>
        <w:rPr>
          <w:rFonts w:ascii="Book Antiqua" w:hAnsi="Book Antiqua"/>
          <w:sz w:val="22"/>
          <w:lang w:eastAsia="en-US"/>
        </w:rPr>
        <w:t>ligeledes</w:t>
      </w:r>
      <w:r w:rsidRPr="001145C8">
        <w:rPr>
          <w:rFonts w:ascii="Book Antiqua" w:hAnsi="Book Antiqua"/>
          <w:sz w:val="22"/>
          <w:lang w:eastAsia="en-US"/>
        </w:rPr>
        <w:t xml:space="preserve"> </w:t>
      </w:r>
      <w:r w:rsidR="001145C8" w:rsidRPr="001145C8">
        <w:rPr>
          <w:rFonts w:ascii="Book Antiqua" w:hAnsi="Book Antiqua"/>
          <w:sz w:val="22"/>
          <w:lang w:eastAsia="en-US"/>
        </w:rPr>
        <w:t>modtage kopi af den endelige afgørelse eller den nye høring</w:t>
      </w:r>
      <w:r w:rsidR="002A6A6F">
        <w:rPr>
          <w:rFonts w:ascii="Book Antiqua" w:hAnsi="Book Antiqua"/>
          <w:sz w:val="22"/>
          <w:lang w:eastAsia="en-US"/>
        </w:rPr>
        <w:t xml:space="preserve"> pr. e-mail</w:t>
      </w:r>
      <w:r w:rsidR="001145C8" w:rsidRPr="001145C8">
        <w:rPr>
          <w:rFonts w:ascii="Book Antiqua" w:hAnsi="Book Antiqua"/>
          <w:sz w:val="22"/>
          <w:lang w:eastAsia="en-US"/>
        </w:rPr>
        <w:t>.</w:t>
      </w:r>
    </w:p>
    <w:p w:rsidR="001145C8" w:rsidRPr="001145C8" w:rsidRDefault="001145C8" w:rsidP="001145C8">
      <w:pPr>
        <w:jc w:val="both"/>
        <w:rPr>
          <w:rFonts w:ascii="Book Antiqua" w:hAnsi="Book Antiqua"/>
          <w:sz w:val="22"/>
          <w:lang w:eastAsia="en-US"/>
        </w:rPr>
      </w:pPr>
    </w:p>
    <w:p w:rsidR="001145C8" w:rsidRPr="001145C8" w:rsidRDefault="00D933F0" w:rsidP="001145C8">
      <w:pPr>
        <w:keepNext/>
        <w:spacing w:before="240" w:after="60"/>
        <w:outlineLvl w:val="1"/>
        <w:rPr>
          <w:rFonts w:ascii="Book Antiqua" w:hAnsi="Book Antiqua"/>
          <w:b/>
          <w:bCs/>
          <w:i/>
          <w:iCs/>
          <w:sz w:val="28"/>
          <w:lang w:eastAsia="en-US"/>
        </w:rPr>
      </w:pPr>
      <w:bookmarkStart w:id="7" w:name="_Toc328580925"/>
      <w:r>
        <w:rPr>
          <w:rFonts w:ascii="Book Antiqua" w:hAnsi="Book Antiqua"/>
          <w:b/>
          <w:bCs/>
          <w:i/>
          <w:iCs/>
          <w:sz w:val="28"/>
          <w:lang w:eastAsia="en-US"/>
        </w:rPr>
        <w:t>7</w:t>
      </w:r>
      <w:r w:rsidR="001145C8" w:rsidRPr="001145C8">
        <w:rPr>
          <w:rFonts w:ascii="Book Antiqua" w:hAnsi="Book Antiqua"/>
          <w:b/>
          <w:bCs/>
          <w:i/>
          <w:iCs/>
          <w:sz w:val="28"/>
          <w:lang w:eastAsia="en-US"/>
        </w:rPr>
        <w:t>. Sager for Revisornævnet</w:t>
      </w:r>
      <w:bookmarkEnd w:id="7"/>
    </w:p>
    <w:p w:rsidR="001145C8" w:rsidRPr="001145C8" w:rsidRDefault="001145C8" w:rsidP="001145C8">
      <w:pPr>
        <w:jc w:val="both"/>
        <w:rPr>
          <w:rFonts w:ascii="Book Antiqua" w:hAnsi="Book Antiqua"/>
          <w:sz w:val="22"/>
          <w:lang w:eastAsia="en-US"/>
        </w:rPr>
      </w:pPr>
      <w:r w:rsidRPr="001145C8">
        <w:rPr>
          <w:rFonts w:ascii="Book Antiqua" w:hAnsi="Book Antiqua"/>
          <w:sz w:val="22"/>
          <w:lang w:eastAsia="en-US"/>
        </w:rPr>
        <w:t xml:space="preserve">Revisortilsynet afgør i hvert enkelt tilfælde, om revisionsvirksomheden og/eller </w:t>
      </w:r>
      <w:r w:rsidR="002A6A6F">
        <w:rPr>
          <w:rFonts w:ascii="Book Antiqua" w:hAnsi="Book Antiqua"/>
          <w:sz w:val="22"/>
          <w:lang w:eastAsia="en-US"/>
        </w:rPr>
        <w:t xml:space="preserve">kontrollerede </w:t>
      </w:r>
      <w:r w:rsidRPr="001145C8">
        <w:rPr>
          <w:rFonts w:ascii="Book Antiqua" w:hAnsi="Book Antiqua"/>
          <w:sz w:val="22"/>
          <w:lang w:eastAsia="en-US"/>
        </w:rPr>
        <w:t xml:space="preserve">revisor skal indbringes for Revisornævnet. </w:t>
      </w:r>
    </w:p>
    <w:p w:rsidR="001145C8" w:rsidRPr="001145C8" w:rsidRDefault="001145C8" w:rsidP="001145C8">
      <w:pPr>
        <w:jc w:val="both"/>
        <w:rPr>
          <w:rFonts w:ascii="Book Antiqua" w:hAnsi="Book Antiqua"/>
          <w:sz w:val="22"/>
          <w:lang w:eastAsia="en-US"/>
        </w:rPr>
      </w:pPr>
    </w:p>
    <w:p w:rsidR="001145C8" w:rsidRPr="001145C8" w:rsidRDefault="001145C8" w:rsidP="001145C8">
      <w:pPr>
        <w:jc w:val="both"/>
        <w:rPr>
          <w:rFonts w:ascii="Book Antiqua" w:hAnsi="Book Antiqua"/>
          <w:sz w:val="22"/>
          <w:lang w:eastAsia="en-US"/>
        </w:rPr>
      </w:pPr>
      <w:r w:rsidRPr="001145C8">
        <w:rPr>
          <w:rFonts w:ascii="Book Antiqua" w:hAnsi="Book Antiqua"/>
          <w:sz w:val="22"/>
          <w:lang w:eastAsia="en-US"/>
        </w:rPr>
        <w:t xml:space="preserve">Revisionsvirksomheden kan bl.a. indbringes, hvis der ikke er etableret eller implementeret et kvalitetsstyringssystem, hvis der er alvorlige mangler og fejl i virksomhedens kvalitetsstyringssystem, </w:t>
      </w:r>
      <w:r w:rsidR="00B252EA">
        <w:rPr>
          <w:rFonts w:ascii="Book Antiqua" w:hAnsi="Book Antiqua"/>
          <w:sz w:val="22"/>
          <w:lang w:eastAsia="en-US"/>
        </w:rPr>
        <w:t xml:space="preserve">eller </w:t>
      </w:r>
      <w:r w:rsidRPr="001145C8">
        <w:rPr>
          <w:rFonts w:ascii="Book Antiqua" w:hAnsi="Book Antiqua"/>
          <w:sz w:val="22"/>
          <w:lang w:eastAsia="en-US"/>
        </w:rPr>
        <w:t>hvis det ikke på tilstrækkelig måde er sikret, at kvalitetsstyringssystemet</w:t>
      </w:r>
      <w:r w:rsidR="00B252EA">
        <w:rPr>
          <w:rFonts w:ascii="Book Antiqua" w:hAnsi="Book Antiqua"/>
          <w:sz w:val="22"/>
          <w:lang w:eastAsia="en-US"/>
        </w:rPr>
        <w:t xml:space="preserve"> er anvendt. Derudover kan en revisionsvirksomhed indbringes for Revisornævnet </w:t>
      </w:r>
      <w:r w:rsidRPr="001145C8">
        <w:rPr>
          <w:rFonts w:ascii="Book Antiqua" w:hAnsi="Book Antiqua"/>
          <w:sz w:val="22"/>
          <w:lang w:eastAsia="en-US"/>
        </w:rPr>
        <w:t>hvis virksomheden i øvrigt kan siges at have været medansvarlig for de fejl, der er begået af en revisor i virksomheden.</w:t>
      </w:r>
    </w:p>
    <w:p w:rsidR="001145C8" w:rsidRPr="001145C8" w:rsidRDefault="001145C8" w:rsidP="001145C8">
      <w:pPr>
        <w:jc w:val="both"/>
        <w:rPr>
          <w:rFonts w:ascii="Book Antiqua" w:hAnsi="Book Antiqua"/>
          <w:sz w:val="22"/>
          <w:lang w:eastAsia="en-US"/>
        </w:rPr>
      </w:pPr>
    </w:p>
    <w:p w:rsidR="001145C8" w:rsidRPr="001145C8" w:rsidRDefault="001145C8" w:rsidP="001145C8">
      <w:pPr>
        <w:jc w:val="both"/>
        <w:rPr>
          <w:rFonts w:ascii="Book Antiqua" w:hAnsi="Book Antiqua"/>
          <w:sz w:val="22"/>
          <w:lang w:eastAsia="en-US"/>
        </w:rPr>
      </w:pPr>
      <w:r w:rsidRPr="001145C8">
        <w:rPr>
          <w:rFonts w:ascii="Book Antiqua" w:hAnsi="Book Antiqua"/>
          <w:sz w:val="22"/>
          <w:lang w:eastAsia="en-US"/>
        </w:rPr>
        <w:t>Revisor kan bl.a. indbringes for Revisornævnet, hvis det ved kvalitetskontrollen konstateres, at revisors erklæringer på erklæringsopgaver i konkrete sager ikke er i overensstemmelse med arbejdspapirerne eller lovgivningens krav, eller hvis det i øvrigt konstateres, at revisor ikke overholder reglerne i lovgivningen og de danske revisionsstandarder, f.eks. manglende uafhængighed eller utilstrækkelig planlægning (herunder utilstrækkelig uafhængigheds-, væsentligheds- og risikovurdering), utilstrækkelig egenkontrol og/eller utilstrækkelig dokumentation for det udførte arbejde.</w:t>
      </w:r>
    </w:p>
    <w:p w:rsidR="001145C8" w:rsidRPr="001145C8" w:rsidRDefault="001145C8" w:rsidP="001145C8">
      <w:pPr>
        <w:jc w:val="both"/>
        <w:rPr>
          <w:rFonts w:ascii="Book Antiqua" w:hAnsi="Book Antiqua"/>
          <w:sz w:val="22"/>
          <w:lang w:eastAsia="en-US"/>
        </w:rPr>
      </w:pPr>
    </w:p>
    <w:p w:rsidR="001145C8" w:rsidRPr="001145C8" w:rsidRDefault="001145C8" w:rsidP="001145C8">
      <w:pPr>
        <w:jc w:val="both"/>
        <w:rPr>
          <w:rFonts w:ascii="Book Antiqua" w:hAnsi="Book Antiqua"/>
          <w:sz w:val="22"/>
          <w:lang w:eastAsia="en-US"/>
        </w:rPr>
      </w:pPr>
      <w:r w:rsidRPr="001145C8">
        <w:rPr>
          <w:rFonts w:ascii="Book Antiqua" w:hAnsi="Book Antiqua"/>
          <w:sz w:val="22"/>
          <w:lang w:eastAsia="en-US"/>
        </w:rPr>
        <w:t>I de tilfælde</w:t>
      </w:r>
      <w:r w:rsidR="002A6A6F">
        <w:rPr>
          <w:rFonts w:ascii="Book Antiqua" w:hAnsi="Book Antiqua"/>
          <w:sz w:val="22"/>
          <w:lang w:eastAsia="en-US"/>
        </w:rPr>
        <w:t xml:space="preserve">, hvor Revisortilsynet </w:t>
      </w:r>
      <w:r w:rsidR="00B252EA">
        <w:rPr>
          <w:rFonts w:ascii="Book Antiqua" w:hAnsi="Book Antiqua"/>
          <w:sz w:val="22"/>
          <w:lang w:eastAsia="en-US"/>
        </w:rPr>
        <w:t>finder</w:t>
      </w:r>
      <w:r w:rsidR="002A6A6F">
        <w:rPr>
          <w:rFonts w:ascii="Book Antiqua" w:hAnsi="Book Antiqua"/>
          <w:sz w:val="22"/>
          <w:lang w:eastAsia="en-US"/>
        </w:rPr>
        <w:t>, at revis</w:t>
      </w:r>
      <w:r w:rsidR="00C942CA">
        <w:rPr>
          <w:rFonts w:ascii="Book Antiqua" w:hAnsi="Book Antiqua"/>
          <w:sz w:val="22"/>
          <w:lang w:eastAsia="en-US"/>
        </w:rPr>
        <w:t>or har gjort sig skyldig i grov eller oftere gentaget</w:t>
      </w:r>
      <w:r w:rsidR="002A6A6F">
        <w:rPr>
          <w:rFonts w:ascii="Book Antiqua" w:hAnsi="Book Antiqua"/>
          <w:sz w:val="22"/>
          <w:lang w:eastAsia="en-US"/>
        </w:rPr>
        <w:t xml:space="preserve"> </w:t>
      </w:r>
      <w:r w:rsidR="00C942CA">
        <w:rPr>
          <w:rFonts w:ascii="Book Antiqua" w:hAnsi="Book Antiqua"/>
          <w:sz w:val="22"/>
          <w:lang w:eastAsia="en-US"/>
        </w:rPr>
        <w:t>forsømmelse i udøvelse af sin virksomhed</w:t>
      </w:r>
      <w:r w:rsidR="00B252EA">
        <w:rPr>
          <w:rFonts w:ascii="Book Antiqua" w:hAnsi="Book Antiqua"/>
          <w:sz w:val="22"/>
          <w:lang w:eastAsia="en-US"/>
        </w:rPr>
        <w:t xml:space="preserve"> og vurderer at den pågældende ikke kan varetage opgaven som offentlighedens tillidsrepræsentant</w:t>
      </w:r>
      <w:r w:rsidRPr="001145C8">
        <w:rPr>
          <w:rFonts w:ascii="Book Antiqua" w:hAnsi="Book Antiqua"/>
          <w:sz w:val="22"/>
          <w:lang w:eastAsia="en-US"/>
        </w:rPr>
        <w:t xml:space="preserve">, vil tilsynet ved </w:t>
      </w:r>
      <w:r w:rsidR="00C942CA">
        <w:rPr>
          <w:rFonts w:ascii="Book Antiqua" w:hAnsi="Book Antiqua"/>
          <w:sz w:val="22"/>
          <w:lang w:eastAsia="en-US"/>
        </w:rPr>
        <w:t>indbringelsen til Revisornævnet</w:t>
      </w:r>
      <w:r w:rsidR="00C942CA" w:rsidRPr="001145C8">
        <w:rPr>
          <w:rFonts w:ascii="Book Antiqua" w:hAnsi="Book Antiqua"/>
          <w:sz w:val="22"/>
          <w:lang w:eastAsia="en-US"/>
        </w:rPr>
        <w:t xml:space="preserve"> </w:t>
      </w:r>
      <w:r w:rsidRPr="001145C8">
        <w:rPr>
          <w:rFonts w:ascii="Book Antiqua" w:hAnsi="Book Antiqua"/>
          <w:sz w:val="22"/>
          <w:lang w:eastAsia="en-US"/>
        </w:rPr>
        <w:t>tilkendegive,</w:t>
      </w:r>
      <w:r w:rsidR="00C942CA">
        <w:rPr>
          <w:rFonts w:ascii="Book Antiqua" w:hAnsi="Book Antiqua"/>
          <w:sz w:val="22"/>
          <w:lang w:eastAsia="en-US"/>
        </w:rPr>
        <w:t xml:space="preserve"> at den pågældende revisor bør frakendes sin godkendelse.</w:t>
      </w:r>
    </w:p>
    <w:p w:rsidR="001145C8" w:rsidRPr="001145C8" w:rsidRDefault="001145C8" w:rsidP="001145C8">
      <w:pPr>
        <w:tabs>
          <w:tab w:val="left" w:pos="4440"/>
        </w:tabs>
        <w:autoSpaceDE w:val="0"/>
        <w:autoSpaceDN w:val="0"/>
        <w:adjustRightInd w:val="0"/>
        <w:jc w:val="both"/>
        <w:rPr>
          <w:rFonts w:ascii="Book Antiqua" w:hAnsi="Book Antiqua" w:cs="Sylfaen"/>
          <w:sz w:val="22"/>
          <w:szCs w:val="22"/>
        </w:rPr>
      </w:pPr>
    </w:p>
    <w:p w:rsidR="001145C8" w:rsidRPr="001145C8" w:rsidRDefault="001145C8" w:rsidP="001145C8">
      <w:pPr>
        <w:jc w:val="both"/>
        <w:rPr>
          <w:rFonts w:ascii="Book Antiqua" w:hAnsi="Book Antiqua"/>
          <w:sz w:val="22"/>
          <w:lang w:eastAsia="en-US"/>
        </w:rPr>
      </w:pPr>
      <w:r w:rsidRPr="001145C8">
        <w:rPr>
          <w:rFonts w:ascii="Book Antiqua" w:hAnsi="Book Antiqua"/>
          <w:sz w:val="22"/>
          <w:lang w:eastAsia="en-US"/>
        </w:rPr>
        <w:t>Når Revisortilsynet indbringer en revisionsvirksomhed/revisor for Revisornævnet, vil tilsynet fremsende det relevante materiale</w:t>
      </w:r>
      <w:r w:rsidR="00C942CA" w:rsidRPr="00C942CA">
        <w:rPr>
          <w:rFonts w:ascii="Book Antiqua" w:hAnsi="Book Antiqua"/>
          <w:sz w:val="22"/>
          <w:lang w:eastAsia="en-US"/>
        </w:rPr>
        <w:t xml:space="preserve"> </w:t>
      </w:r>
      <w:r w:rsidR="00C942CA" w:rsidRPr="001145C8">
        <w:rPr>
          <w:rFonts w:ascii="Book Antiqua" w:hAnsi="Book Antiqua"/>
          <w:sz w:val="22"/>
          <w:lang w:eastAsia="en-US"/>
        </w:rPr>
        <w:t>til Revisornævnet</w:t>
      </w:r>
      <w:r w:rsidRPr="001145C8">
        <w:rPr>
          <w:rFonts w:ascii="Book Antiqua" w:hAnsi="Book Antiqua"/>
          <w:sz w:val="22"/>
          <w:lang w:eastAsia="en-US"/>
        </w:rPr>
        <w:t xml:space="preserve">, som tilsynet </w:t>
      </w:r>
      <w:r w:rsidR="00C942CA" w:rsidRPr="001145C8">
        <w:rPr>
          <w:rFonts w:ascii="Book Antiqua" w:hAnsi="Book Antiqua"/>
          <w:sz w:val="22"/>
          <w:lang w:eastAsia="en-US"/>
        </w:rPr>
        <w:t xml:space="preserve">er kommet i besiddelse af </w:t>
      </w:r>
      <w:r w:rsidRPr="001145C8">
        <w:rPr>
          <w:rFonts w:ascii="Book Antiqua" w:hAnsi="Book Antiqua"/>
          <w:sz w:val="22"/>
          <w:lang w:eastAsia="en-US"/>
        </w:rPr>
        <w:t>under sagsbehandlingen.</w:t>
      </w:r>
    </w:p>
    <w:p w:rsidR="001145C8" w:rsidRPr="001145C8" w:rsidRDefault="001145C8" w:rsidP="001145C8">
      <w:pPr>
        <w:tabs>
          <w:tab w:val="left" w:pos="4440"/>
        </w:tabs>
        <w:autoSpaceDE w:val="0"/>
        <w:autoSpaceDN w:val="0"/>
        <w:adjustRightInd w:val="0"/>
        <w:jc w:val="both"/>
        <w:rPr>
          <w:rFonts w:ascii="Book Antiqua" w:hAnsi="Book Antiqua" w:cs="Sylfaen"/>
          <w:sz w:val="22"/>
          <w:szCs w:val="22"/>
        </w:rPr>
      </w:pPr>
    </w:p>
    <w:p w:rsidR="00852905" w:rsidRDefault="00C942CA" w:rsidP="001145C8">
      <w:pPr>
        <w:tabs>
          <w:tab w:val="left" w:pos="4440"/>
        </w:tabs>
        <w:autoSpaceDE w:val="0"/>
        <w:autoSpaceDN w:val="0"/>
        <w:adjustRightInd w:val="0"/>
        <w:jc w:val="both"/>
        <w:rPr>
          <w:rFonts w:ascii="Book Antiqua" w:hAnsi="Book Antiqua" w:cs="Sylfaen"/>
          <w:sz w:val="22"/>
          <w:szCs w:val="22"/>
        </w:rPr>
      </w:pPr>
      <w:r w:rsidRPr="00C942CA">
        <w:rPr>
          <w:rFonts w:ascii="Book Antiqua" w:hAnsi="Book Antiqua" w:cs="Sylfaen"/>
          <w:sz w:val="22"/>
          <w:szCs w:val="22"/>
        </w:rPr>
        <w:t>Er kvalitetskontrollen udført af en kvalitetskontrollant</w:t>
      </w:r>
      <w:r w:rsidR="001145C8" w:rsidRPr="001145C8">
        <w:rPr>
          <w:rFonts w:ascii="Book Antiqua" w:hAnsi="Book Antiqua" w:cs="Sylfaen"/>
          <w:sz w:val="22"/>
          <w:szCs w:val="22"/>
        </w:rPr>
        <w:t xml:space="preserve">, kan </w:t>
      </w:r>
      <w:r>
        <w:rPr>
          <w:rFonts w:ascii="Book Antiqua" w:hAnsi="Book Antiqua" w:cs="Sylfaen"/>
          <w:sz w:val="22"/>
          <w:szCs w:val="22"/>
        </w:rPr>
        <w:t xml:space="preserve">kvalitetskontrollanten </w:t>
      </w:r>
      <w:r w:rsidR="001145C8" w:rsidRPr="001145C8">
        <w:rPr>
          <w:rFonts w:ascii="Book Antiqua" w:hAnsi="Book Antiqua" w:cs="Sylfaen"/>
          <w:sz w:val="22"/>
          <w:szCs w:val="22"/>
        </w:rPr>
        <w:t xml:space="preserve">indkaldes som bisidder for Revisortilsynet i tilfælde af, at Revisornævnet indkalder </w:t>
      </w:r>
      <w:r>
        <w:rPr>
          <w:rFonts w:ascii="Book Antiqua" w:hAnsi="Book Antiqua" w:cs="Sylfaen"/>
          <w:sz w:val="22"/>
          <w:szCs w:val="22"/>
        </w:rPr>
        <w:t xml:space="preserve">parterne </w:t>
      </w:r>
      <w:r w:rsidR="001145C8" w:rsidRPr="001145C8">
        <w:rPr>
          <w:rFonts w:ascii="Book Antiqua" w:hAnsi="Book Antiqua" w:cs="Sylfaen"/>
          <w:sz w:val="22"/>
          <w:szCs w:val="22"/>
        </w:rPr>
        <w:t xml:space="preserve">til møde </w:t>
      </w:r>
      <w:r>
        <w:rPr>
          <w:rFonts w:ascii="Book Antiqua" w:hAnsi="Book Antiqua" w:cs="Sylfaen"/>
          <w:sz w:val="22"/>
          <w:szCs w:val="22"/>
        </w:rPr>
        <w:t xml:space="preserve">i </w:t>
      </w:r>
      <w:r>
        <w:rPr>
          <w:rFonts w:ascii="Book Antiqua" w:hAnsi="Book Antiqua" w:cs="Sylfaen"/>
          <w:sz w:val="22"/>
          <w:szCs w:val="22"/>
        </w:rPr>
        <w:lastRenderedPageBreak/>
        <w:t>Revisornævnets bedømmelse af sagen</w:t>
      </w:r>
      <w:r w:rsidR="001145C8" w:rsidRPr="001145C8">
        <w:rPr>
          <w:rFonts w:ascii="Book Antiqua" w:hAnsi="Book Antiqua" w:cs="Sylfaen"/>
          <w:sz w:val="22"/>
          <w:szCs w:val="22"/>
        </w:rPr>
        <w:t xml:space="preserve">. Revisortilsynet vil afholde eventuelle udgifter til kvalitetskontrollantens transport og tidsforbrug for et sådan møde. </w:t>
      </w:r>
    </w:p>
    <w:p w:rsidR="00852905" w:rsidRDefault="00852905" w:rsidP="001145C8">
      <w:pPr>
        <w:tabs>
          <w:tab w:val="left" w:pos="4440"/>
        </w:tabs>
        <w:autoSpaceDE w:val="0"/>
        <w:autoSpaceDN w:val="0"/>
        <w:adjustRightInd w:val="0"/>
        <w:jc w:val="both"/>
        <w:rPr>
          <w:rFonts w:ascii="Book Antiqua" w:hAnsi="Book Antiqua" w:cs="Sylfaen"/>
          <w:sz w:val="22"/>
          <w:szCs w:val="22"/>
        </w:rPr>
      </w:pPr>
    </w:p>
    <w:p w:rsidR="00A85504" w:rsidRDefault="001145C8" w:rsidP="001145C8">
      <w:pPr>
        <w:tabs>
          <w:tab w:val="left" w:pos="4440"/>
        </w:tabs>
        <w:autoSpaceDE w:val="0"/>
        <w:autoSpaceDN w:val="0"/>
        <w:adjustRightInd w:val="0"/>
        <w:jc w:val="both"/>
        <w:rPr>
          <w:rFonts w:ascii="Book Antiqua" w:hAnsi="Book Antiqua" w:cs="Sylfaen"/>
          <w:sz w:val="22"/>
          <w:szCs w:val="22"/>
        </w:rPr>
      </w:pPr>
      <w:r w:rsidRPr="001145C8">
        <w:rPr>
          <w:rFonts w:ascii="Book Antiqua" w:hAnsi="Book Antiqua" w:cs="Sylfaen"/>
          <w:sz w:val="22"/>
          <w:szCs w:val="22"/>
        </w:rPr>
        <w:t xml:space="preserve">Kvalitetskontrollanten repræsenterer ved disse lejligheder Revisortilsynet og skal kunne redegøre for </w:t>
      </w:r>
    </w:p>
    <w:p w:rsidR="00A85504" w:rsidRDefault="001145C8" w:rsidP="001145C8">
      <w:pPr>
        <w:tabs>
          <w:tab w:val="left" w:pos="4440"/>
        </w:tabs>
        <w:autoSpaceDE w:val="0"/>
        <w:autoSpaceDN w:val="0"/>
        <w:adjustRightInd w:val="0"/>
        <w:jc w:val="both"/>
        <w:rPr>
          <w:rFonts w:ascii="Book Antiqua" w:hAnsi="Book Antiqua" w:cs="Sylfaen"/>
          <w:sz w:val="22"/>
          <w:szCs w:val="22"/>
        </w:rPr>
      </w:pPr>
      <w:r w:rsidRPr="001145C8">
        <w:rPr>
          <w:rFonts w:ascii="Book Antiqua" w:hAnsi="Book Antiqua" w:cs="Sylfaen"/>
          <w:sz w:val="22"/>
          <w:szCs w:val="22"/>
        </w:rPr>
        <w:t xml:space="preserve">1) indholdet af sin erklæring, </w:t>
      </w:r>
    </w:p>
    <w:p w:rsidR="00A85504" w:rsidRDefault="001145C8" w:rsidP="001145C8">
      <w:pPr>
        <w:tabs>
          <w:tab w:val="left" w:pos="4440"/>
        </w:tabs>
        <w:autoSpaceDE w:val="0"/>
        <w:autoSpaceDN w:val="0"/>
        <w:adjustRightInd w:val="0"/>
        <w:jc w:val="both"/>
        <w:rPr>
          <w:rFonts w:ascii="Book Antiqua" w:hAnsi="Book Antiqua" w:cs="Sylfaen"/>
          <w:sz w:val="22"/>
          <w:szCs w:val="22"/>
        </w:rPr>
      </w:pPr>
      <w:r w:rsidRPr="001145C8">
        <w:rPr>
          <w:rFonts w:ascii="Book Antiqua" w:hAnsi="Book Antiqua" w:cs="Sylfaen"/>
          <w:sz w:val="22"/>
          <w:szCs w:val="22"/>
        </w:rPr>
        <w:t xml:space="preserve">2) sit arbejde i forbindelse med kvalitetskontrollen, samt </w:t>
      </w:r>
    </w:p>
    <w:p w:rsidR="001145C8" w:rsidRPr="001145C8" w:rsidRDefault="001145C8" w:rsidP="001145C8">
      <w:pPr>
        <w:tabs>
          <w:tab w:val="left" w:pos="4440"/>
        </w:tabs>
        <w:autoSpaceDE w:val="0"/>
        <w:autoSpaceDN w:val="0"/>
        <w:adjustRightInd w:val="0"/>
        <w:jc w:val="both"/>
        <w:rPr>
          <w:rFonts w:ascii="Book Antiqua" w:hAnsi="Book Antiqua" w:cs="Sylfaen"/>
          <w:sz w:val="22"/>
          <w:szCs w:val="22"/>
        </w:rPr>
      </w:pPr>
      <w:r w:rsidRPr="001145C8">
        <w:rPr>
          <w:rFonts w:ascii="Book Antiqua" w:hAnsi="Book Antiqua" w:cs="Sylfaen"/>
          <w:sz w:val="22"/>
          <w:szCs w:val="22"/>
        </w:rPr>
        <w:t xml:space="preserve">3)fremlægge fornøden dokumentation, der underbygger rigtigheden af </w:t>
      </w:r>
      <w:r w:rsidR="00C942CA">
        <w:rPr>
          <w:rFonts w:ascii="Book Antiqua" w:hAnsi="Book Antiqua" w:cs="Sylfaen"/>
          <w:sz w:val="22"/>
          <w:szCs w:val="22"/>
        </w:rPr>
        <w:t>kvalitets</w:t>
      </w:r>
      <w:r w:rsidRPr="001145C8">
        <w:rPr>
          <w:rFonts w:ascii="Book Antiqua" w:hAnsi="Book Antiqua" w:cs="Sylfaen"/>
          <w:sz w:val="22"/>
          <w:szCs w:val="22"/>
        </w:rPr>
        <w:t xml:space="preserve">kontrollantens erklæring og de observationer, som </w:t>
      </w:r>
      <w:r w:rsidR="00C942CA">
        <w:rPr>
          <w:rFonts w:ascii="Book Antiqua" w:hAnsi="Book Antiqua" w:cs="Sylfaen"/>
          <w:sz w:val="22"/>
          <w:szCs w:val="22"/>
        </w:rPr>
        <w:t>kvalitets</w:t>
      </w:r>
      <w:r w:rsidRPr="001145C8">
        <w:rPr>
          <w:rFonts w:ascii="Book Antiqua" w:hAnsi="Book Antiqua" w:cs="Sylfaen"/>
          <w:sz w:val="22"/>
          <w:szCs w:val="22"/>
        </w:rPr>
        <w:t>kontrollanten har anført i sine arbejdspapirer.</w:t>
      </w:r>
    </w:p>
    <w:p w:rsidR="0050719D" w:rsidRDefault="0050719D" w:rsidP="001145C8">
      <w:pPr>
        <w:keepNext/>
        <w:spacing w:before="240" w:after="60"/>
        <w:outlineLvl w:val="1"/>
      </w:pPr>
    </w:p>
    <w:sectPr w:rsidR="0050719D">
      <w:footerReference w:type="default" r:id="rId8"/>
      <w:type w:val="nextColumn"/>
      <w:pgSz w:w="11907" w:h="16840" w:code="9"/>
      <w:pgMar w:top="1134" w:right="1361" w:bottom="1134" w:left="136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D4C" w:rsidRDefault="008E4D4C" w:rsidP="00506935">
      <w:r>
        <w:separator/>
      </w:r>
    </w:p>
  </w:endnote>
  <w:endnote w:type="continuationSeparator" w:id="0">
    <w:p w:rsidR="008E4D4C" w:rsidRDefault="008E4D4C" w:rsidP="0050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164625"/>
      <w:docPartObj>
        <w:docPartGallery w:val="Page Numbers (Bottom of Page)"/>
        <w:docPartUnique/>
      </w:docPartObj>
    </w:sdtPr>
    <w:sdtEndPr/>
    <w:sdtContent>
      <w:p w:rsidR="00506935" w:rsidRDefault="00506935">
        <w:pPr>
          <w:pStyle w:val="Sidefod"/>
          <w:jc w:val="right"/>
        </w:pPr>
        <w:r>
          <w:fldChar w:fldCharType="begin"/>
        </w:r>
        <w:r>
          <w:instrText>PAGE   \* MERGEFORMAT</w:instrText>
        </w:r>
        <w:r>
          <w:fldChar w:fldCharType="separate"/>
        </w:r>
        <w:r w:rsidR="00B268BC">
          <w:rPr>
            <w:noProof/>
          </w:rPr>
          <w:t>4</w:t>
        </w:r>
        <w:r>
          <w:fldChar w:fldCharType="end"/>
        </w:r>
      </w:p>
    </w:sdtContent>
  </w:sdt>
  <w:p w:rsidR="00506935" w:rsidRDefault="0050693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D4C" w:rsidRDefault="008E4D4C" w:rsidP="00506935">
      <w:r>
        <w:separator/>
      </w:r>
    </w:p>
  </w:footnote>
  <w:footnote w:type="continuationSeparator" w:id="0">
    <w:p w:rsidR="008E4D4C" w:rsidRDefault="008E4D4C" w:rsidP="00506935">
      <w:r>
        <w:continuationSeparator/>
      </w:r>
    </w:p>
  </w:footnote>
  <w:footnote w:id="1">
    <w:p w:rsidR="00506935" w:rsidRDefault="00506935">
      <w:pPr>
        <w:pStyle w:val="Fodnotetekst"/>
      </w:pPr>
      <w:r>
        <w:rPr>
          <w:rStyle w:val="Fodnotehenvisning"/>
        </w:rPr>
        <w:footnoteRef/>
      </w:r>
      <w:r>
        <w:t xml:space="preserve"> </w:t>
      </w:r>
      <w:r w:rsidRPr="003E5A51">
        <w:rPr>
          <w:rFonts w:ascii="Book Antiqua" w:hAnsi="Book Antiqua"/>
        </w:rPr>
        <w:t>Af juli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174DF"/>
    <w:multiLevelType w:val="hybridMultilevel"/>
    <w:tmpl w:val="B8B2382C"/>
    <w:lvl w:ilvl="0" w:tplc="04060001">
      <w:start w:val="1"/>
      <w:numFmt w:val="bullet"/>
      <w:lvlText w:val=""/>
      <w:lvlJc w:val="left"/>
      <w:pPr>
        <w:ind w:left="1000" w:hanging="360"/>
      </w:pPr>
      <w:rPr>
        <w:rFonts w:ascii="Symbol" w:hAnsi="Symbol" w:hint="default"/>
      </w:rPr>
    </w:lvl>
    <w:lvl w:ilvl="1" w:tplc="04060003" w:tentative="1">
      <w:start w:val="1"/>
      <w:numFmt w:val="bullet"/>
      <w:lvlText w:val="o"/>
      <w:lvlJc w:val="left"/>
      <w:pPr>
        <w:ind w:left="1720" w:hanging="360"/>
      </w:pPr>
      <w:rPr>
        <w:rFonts w:ascii="Courier New" w:hAnsi="Courier New" w:cs="Courier New" w:hint="default"/>
      </w:rPr>
    </w:lvl>
    <w:lvl w:ilvl="2" w:tplc="04060005" w:tentative="1">
      <w:start w:val="1"/>
      <w:numFmt w:val="bullet"/>
      <w:lvlText w:val=""/>
      <w:lvlJc w:val="left"/>
      <w:pPr>
        <w:ind w:left="2440" w:hanging="360"/>
      </w:pPr>
      <w:rPr>
        <w:rFonts w:ascii="Wingdings" w:hAnsi="Wingdings" w:hint="default"/>
      </w:rPr>
    </w:lvl>
    <w:lvl w:ilvl="3" w:tplc="04060001" w:tentative="1">
      <w:start w:val="1"/>
      <w:numFmt w:val="bullet"/>
      <w:lvlText w:val=""/>
      <w:lvlJc w:val="left"/>
      <w:pPr>
        <w:ind w:left="3160" w:hanging="360"/>
      </w:pPr>
      <w:rPr>
        <w:rFonts w:ascii="Symbol" w:hAnsi="Symbol" w:hint="default"/>
      </w:rPr>
    </w:lvl>
    <w:lvl w:ilvl="4" w:tplc="04060003" w:tentative="1">
      <w:start w:val="1"/>
      <w:numFmt w:val="bullet"/>
      <w:lvlText w:val="o"/>
      <w:lvlJc w:val="left"/>
      <w:pPr>
        <w:ind w:left="3880" w:hanging="360"/>
      </w:pPr>
      <w:rPr>
        <w:rFonts w:ascii="Courier New" w:hAnsi="Courier New" w:cs="Courier New" w:hint="default"/>
      </w:rPr>
    </w:lvl>
    <w:lvl w:ilvl="5" w:tplc="04060005" w:tentative="1">
      <w:start w:val="1"/>
      <w:numFmt w:val="bullet"/>
      <w:lvlText w:val=""/>
      <w:lvlJc w:val="left"/>
      <w:pPr>
        <w:ind w:left="4600" w:hanging="360"/>
      </w:pPr>
      <w:rPr>
        <w:rFonts w:ascii="Wingdings" w:hAnsi="Wingdings" w:hint="default"/>
      </w:rPr>
    </w:lvl>
    <w:lvl w:ilvl="6" w:tplc="04060001" w:tentative="1">
      <w:start w:val="1"/>
      <w:numFmt w:val="bullet"/>
      <w:lvlText w:val=""/>
      <w:lvlJc w:val="left"/>
      <w:pPr>
        <w:ind w:left="5320" w:hanging="360"/>
      </w:pPr>
      <w:rPr>
        <w:rFonts w:ascii="Symbol" w:hAnsi="Symbol" w:hint="default"/>
      </w:rPr>
    </w:lvl>
    <w:lvl w:ilvl="7" w:tplc="04060003" w:tentative="1">
      <w:start w:val="1"/>
      <w:numFmt w:val="bullet"/>
      <w:lvlText w:val="o"/>
      <w:lvlJc w:val="left"/>
      <w:pPr>
        <w:ind w:left="6040" w:hanging="360"/>
      </w:pPr>
      <w:rPr>
        <w:rFonts w:ascii="Courier New" w:hAnsi="Courier New" w:cs="Courier New" w:hint="default"/>
      </w:rPr>
    </w:lvl>
    <w:lvl w:ilvl="8" w:tplc="04060005" w:tentative="1">
      <w:start w:val="1"/>
      <w:numFmt w:val="bullet"/>
      <w:lvlText w:val=""/>
      <w:lvlJc w:val="left"/>
      <w:pPr>
        <w:ind w:left="6760" w:hanging="360"/>
      </w:pPr>
      <w:rPr>
        <w:rFonts w:ascii="Wingdings" w:hAnsi="Wingdings" w:hint="default"/>
      </w:rPr>
    </w:lvl>
  </w:abstractNum>
  <w:abstractNum w:abstractNumId="1" w15:restartNumberingAfterBreak="0">
    <w:nsid w:val="53E704E4"/>
    <w:multiLevelType w:val="hybridMultilevel"/>
    <w:tmpl w:val="9726F94A"/>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AE"/>
    <w:rsid w:val="000025FD"/>
    <w:rsid w:val="00002F63"/>
    <w:rsid w:val="00007C2E"/>
    <w:rsid w:val="0001129C"/>
    <w:rsid w:val="00011A3B"/>
    <w:rsid w:val="000128A5"/>
    <w:rsid w:val="000139D2"/>
    <w:rsid w:val="00020649"/>
    <w:rsid w:val="00020998"/>
    <w:rsid w:val="0002206A"/>
    <w:rsid w:val="0002413F"/>
    <w:rsid w:val="00024DE5"/>
    <w:rsid w:val="00026B0F"/>
    <w:rsid w:val="0003217C"/>
    <w:rsid w:val="000376FC"/>
    <w:rsid w:val="00040489"/>
    <w:rsid w:val="00041995"/>
    <w:rsid w:val="00042F4B"/>
    <w:rsid w:val="00043461"/>
    <w:rsid w:val="000521F6"/>
    <w:rsid w:val="00054A87"/>
    <w:rsid w:val="00060833"/>
    <w:rsid w:val="0006371A"/>
    <w:rsid w:val="0006583B"/>
    <w:rsid w:val="00074238"/>
    <w:rsid w:val="00074EFF"/>
    <w:rsid w:val="00077C1B"/>
    <w:rsid w:val="00080BD2"/>
    <w:rsid w:val="000819D4"/>
    <w:rsid w:val="000822D5"/>
    <w:rsid w:val="00082DFA"/>
    <w:rsid w:val="00084D65"/>
    <w:rsid w:val="00085507"/>
    <w:rsid w:val="00087D10"/>
    <w:rsid w:val="00091F7A"/>
    <w:rsid w:val="000A01A0"/>
    <w:rsid w:val="000A0B3B"/>
    <w:rsid w:val="000A0DA0"/>
    <w:rsid w:val="000A2796"/>
    <w:rsid w:val="000A31FF"/>
    <w:rsid w:val="000B0D33"/>
    <w:rsid w:val="000B4A2D"/>
    <w:rsid w:val="000C235A"/>
    <w:rsid w:val="000C3C22"/>
    <w:rsid w:val="000C4F88"/>
    <w:rsid w:val="000C50F5"/>
    <w:rsid w:val="000C54FE"/>
    <w:rsid w:val="000C574A"/>
    <w:rsid w:val="000C7293"/>
    <w:rsid w:val="000D0AC3"/>
    <w:rsid w:val="000D4189"/>
    <w:rsid w:val="000D4A12"/>
    <w:rsid w:val="000D4AF8"/>
    <w:rsid w:val="000D4DD1"/>
    <w:rsid w:val="000E17E4"/>
    <w:rsid w:val="000E41F1"/>
    <w:rsid w:val="000F682E"/>
    <w:rsid w:val="000F6E65"/>
    <w:rsid w:val="00103A4D"/>
    <w:rsid w:val="00105666"/>
    <w:rsid w:val="001076CD"/>
    <w:rsid w:val="00107DE4"/>
    <w:rsid w:val="0011025D"/>
    <w:rsid w:val="0011124B"/>
    <w:rsid w:val="001139FC"/>
    <w:rsid w:val="00113EC8"/>
    <w:rsid w:val="001145C8"/>
    <w:rsid w:val="001165E3"/>
    <w:rsid w:val="0012383B"/>
    <w:rsid w:val="00124A59"/>
    <w:rsid w:val="00131E22"/>
    <w:rsid w:val="00133CA8"/>
    <w:rsid w:val="00142679"/>
    <w:rsid w:val="00142903"/>
    <w:rsid w:val="0014626A"/>
    <w:rsid w:val="00151163"/>
    <w:rsid w:val="00152E68"/>
    <w:rsid w:val="00155B2A"/>
    <w:rsid w:val="00171823"/>
    <w:rsid w:val="00172632"/>
    <w:rsid w:val="001731D3"/>
    <w:rsid w:val="001736E3"/>
    <w:rsid w:val="00174759"/>
    <w:rsid w:val="00175262"/>
    <w:rsid w:val="001777C8"/>
    <w:rsid w:val="001801AA"/>
    <w:rsid w:val="001846C0"/>
    <w:rsid w:val="00184BB3"/>
    <w:rsid w:val="00187105"/>
    <w:rsid w:val="001871FD"/>
    <w:rsid w:val="0018778D"/>
    <w:rsid w:val="00190C40"/>
    <w:rsid w:val="0019386C"/>
    <w:rsid w:val="0019740C"/>
    <w:rsid w:val="001B0659"/>
    <w:rsid w:val="001B4D33"/>
    <w:rsid w:val="001B6FD8"/>
    <w:rsid w:val="001C43CE"/>
    <w:rsid w:val="001C776E"/>
    <w:rsid w:val="001D064E"/>
    <w:rsid w:val="001D0A66"/>
    <w:rsid w:val="001E0045"/>
    <w:rsid w:val="001E1C05"/>
    <w:rsid w:val="001F010C"/>
    <w:rsid w:val="001F2FE2"/>
    <w:rsid w:val="001F4948"/>
    <w:rsid w:val="001F5D65"/>
    <w:rsid w:val="001F7185"/>
    <w:rsid w:val="001F74D6"/>
    <w:rsid w:val="001F7B02"/>
    <w:rsid w:val="00200C43"/>
    <w:rsid w:val="002105F4"/>
    <w:rsid w:val="00212E3D"/>
    <w:rsid w:val="0021660B"/>
    <w:rsid w:val="00221E45"/>
    <w:rsid w:val="0022364F"/>
    <w:rsid w:val="0023069E"/>
    <w:rsid w:val="0023210D"/>
    <w:rsid w:val="00234548"/>
    <w:rsid w:val="00235749"/>
    <w:rsid w:val="00236819"/>
    <w:rsid w:val="00237528"/>
    <w:rsid w:val="002414B1"/>
    <w:rsid w:val="00241AB9"/>
    <w:rsid w:val="0024303F"/>
    <w:rsid w:val="002438F8"/>
    <w:rsid w:val="002448D7"/>
    <w:rsid w:val="00245C87"/>
    <w:rsid w:val="00250C59"/>
    <w:rsid w:val="00255F32"/>
    <w:rsid w:val="0025670A"/>
    <w:rsid w:val="00261A27"/>
    <w:rsid w:val="00262561"/>
    <w:rsid w:val="00267BEE"/>
    <w:rsid w:val="002705B2"/>
    <w:rsid w:val="00270B69"/>
    <w:rsid w:val="00282C02"/>
    <w:rsid w:val="00283398"/>
    <w:rsid w:val="00287767"/>
    <w:rsid w:val="0029051C"/>
    <w:rsid w:val="00292A52"/>
    <w:rsid w:val="00292B1F"/>
    <w:rsid w:val="002935BB"/>
    <w:rsid w:val="00293C22"/>
    <w:rsid w:val="002A0AC8"/>
    <w:rsid w:val="002A15A3"/>
    <w:rsid w:val="002A196C"/>
    <w:rsid w:val="002A53A7"/>
    <w:rsid w:val="002A6A6F"/>
    <w:rsid w:val="002A725E"/>
    <w:rsid w:val="002B064D"/>
    <w:rsid w:val="002B441B"/>
    <w:rsid w:val="002C0131"/>
    <w:rsid w:val="002C3200"/>
    <w:rsid w:val="002C666D"/>
    <w:rsid w:val="002C707F"/>
    <w:rsid w:val="002D1D71"/>
    <w:rsid w:val="002D31B6"/>
    <w:rsid w:val="002D4A69"/>
    <w:rsid w:val="002E4319"/>
    <w:rsid w:val="002E5BBB"/>
    <w:rsid w:val="002E72C8"/>
    <w:rsid w:val="002F45D3"/>
    <w:rsid w:val="002F6120"/>
    <w:rsid w:val="002F7050"/>
    <w:rsid w:val="002F7791"/>
    <w:rsid w:val="00300570"/>
    <w:rsid w:val="00301130"/>
    <w:rsid w:val="003021BA"/>
    <w:rsid w:val="0030337D"/>
    <w:rsid w:val="00305EB2"/>
    <w:rsid w:val="00306769"/>
    <w:rsid w:val="00307859"/>
    <w:rsid w:val="00311C8D"/>
    <w:rsid w:val="00312769"/>
    <w:rsid w:val="00313338"/>
    <w:rsid w:val="0031758A"/>
    <w:rsid w:val="003213D3"/>
    <w:rsid w:val="00325928"/>
    <w:rsid w:val="00327364"/>
    <w:rsid w:val="00334528"/>
    <w:rsid w:val="0033486D"/>
    <w:rsid w:val="0034076B"/>
    <w:rsid w:val="00340911"/>
    <w:rsid w:val="00343793"/>
    <w:rsid w:val="00345B7D"/>
    <w:rsid w:val="00347B3D"/>
    <w:rsid w:val="00350BD5"/>
    <w:rsid w:val="00350D6A"/>
    <w:rsid w:val="00350F74"/>
    <w:rsid w:val="00351FEE"/>
    <w:rsid w:val="00353694"/>
    <w:rsid w:val="00354D61"/>
    <w:rsid w:val="003573AF"/>
    <w:rsid w:val="00357EDD"/>
    <w:rsid w:val="0036150F"/>
    <w:rsid w:val="00362B08"/>
    <w:rsid w:val="00364949"/>
    <w:rsid w:val="00375E7D"/>
    <w:rsid w:val="0039017E"/>
    <w:rsid w:val="003918EB"/>
    <w:rsid w:val="00392A91"/>
    <w:rsid w:val="00395B6C"/>
    <w:rsid w:val="00397E93"/>
    <w:rsid w:val="003A0743"/>
    <w:rsid w:val="003A2684"/>
    <w:rsid w:val="003A3093"/>
    <w:rsid w:val="003B4024"/>
    <w:rsid w:val="003B6CB6"/>
    <w:rsid w:val="003C5F54"/>
    <w:rsid w:val="003C7DA5"/>
    <w:rsid w:val="003D13CA"/>
    <w:rsid w:val="003D1834"/>
    <w:rsid w:val="003D27F4"/>
    <w:rsid w:val="003D53B9"/>
    <w:rsid w:val="003D638A"/>
    <w:rsid w:val="003E0A2B"/>
    <w:rsid w:val="003E32B5"/>
    <w:rsid w:val="003E55C3"/>
    <w:rsid w:val="003E58F5"/>
    <w:rsid w:val="003E5A51"/>
    <w:rsid w:val="003E636E"/>
    <w:rsid w:val="003E6637"/>
    <w:rsid w:val="003E68E6"/>
    <w:rsid w:val="003E7CB1"/>
    <w:rsid w:val="003F1077"/>
    <w:rsid w:val="003F4EFC"/>
    <w:rsid w:val="003F725E"/>
    <w:rsid w:val="00410611"/>
    <w:rsid w:val="004222ED"/>
    <w:rsid w:val="00431458"/>
    <w:rsid w:val="004338E9"/>
    <w:rsid w:val="004461FC"/>
    <w:rsid w:val="00446BF2"/>
    <w:rsid w:val="00452FB1"/>
    <w:rsid w:val="004561E5"/>
    <w:rsid w:val="0046088E"/>
    <w:rsid w:val="00464BFC"/>
    <w:rsid w:val="00470BE8"/>
    <w:rsid w:val="00470C43"/>
    <w:rsid w:val="0047142B"/>
    <w:rsid w:val="00474C52"/>
    <w:rsid w:val="004772DB"/>
    <w:rsid w:val="0048067B"/>
    <w:rsid w:val="004812B0"/>
    <w:rsid w:val="004826E3"/>
    <w:rsid w:val="00487F69"/>
    <w:rsid w:val="00495713"/>
    <w:rsid w:val="004A6A4C"/>
    <w:rsid w:val="004A719C"/>
    <w:rsid w:val="004A7DAB"/>
    <w:rsid w:val="004B0CE5"/>
    <w:rsid w:val="004B2030"/>
    <w:rsid w:val="004B3959"/>
    <w:rsid w:val="004B3FBC"/>
    <w:rsid w:val="004C1289"/>
    <w:rsid w:val="004C1EE5"/>
    <w:rsid w:val="004C3520"/>
    <w:rsid w:val="004C4F76"/>
    <w:rsid w:val="004C6AF2"/>
    <w:rsid w:val="004D3F2B"/>
    <w:rsid w:val="004D6344"/>
    <w:rsid w:val="004D67A0"/>
    <w:rsid w:val="004E4FAF"/>
    <w:rsid w:val="004F1D76"/>
    <w:rsid w:val="004F273F"/>
    <w:rsid w:val="004F688A"/>
    <w:rsid w:val="004F6ABB"/>
    <w:rsid w:val="005056B5"/>
    <w:rsid w:val="00506935"/>
    <w:rsid w:val="0050719D"/>
    <w:rsid w:val="005120A2"/>
    <w:rsid w:val="00513275"/>
    <w:rsid w:val="0051391D"/>
    <w:rsid w:val="00517881"/>
    <w:rsid w:val="00523D29"/>
    <w:rsid w:val="00532AC9"/>
    <w:rsid w:val="00535490"/>
    <w:rsid w:val="00537E22"/>
    <w:rsid w:val="00540190"/>
    <w:rsid w:val="005420C5"/>
    <w:rsid w:val="00546F87"/>
    <w:rsid w:val="00546FFD"/>
    <w:rsid w:val="00547287"/>
    <w:rsid w:val="00553E4E"/>
    <w:rsid w:val="00556291"/>
    <w:rsid w:val="005567E0"/>
    <w:rsid w:val="005632C7"/>
    <w:rsid w:val="00563847"/>
    <w:rsid w:val="005646F9"/>
    <w:rsid w:val="00571719"/>
    <w:rsid w:val="005721AB"/>
    <w:rsid w:val="005768F0"/>
    <w:rsid w:val="00576A67"/>
    <w:rsid w:val="00581AEF"/>
    <w:rsid w:val="005826B9"/>
    <w:rsid w:val="005847D0"/>
    <w:rsid w:val="005914A0"/>
    <w:rsid w:val="00595FF5"/>
    <w:rsid w:val="005B59B2"/>
    <w:rsid w:val="005B631E"/>
    <w:rsid w:val="005C2C57"/>
    <w:rsid w:val="005C665C"/>
    <w:rsid w:val="005C6DC3"/>
    <w:rsid w:val="005C7933"/>
    <w:rsid w:val="005D0824"/>
    <w:rsid w:val="005D14A0"/>
    <w:rsid w:val="005D2856"/>
    <w:rsid w:val="005D3475"/>
    <w:rsid w:val="005D5889"/>
    <w:rsid w:val="005D6351"/>
    <w:rsid w:val="005E11EA"/>
    <w:rsid w:val="005E388E"/>
    <w:rsid w:val="005E64CC"/>
    <w:rsid w:val="005F58F9"/>
    <w:rsid w:val="00604ED6"/>
    <w:rsid w:val="00606297"/>
    <w:rsid w:val="00606E31"/>
    <w:rsid w:val="006101F9"/>
    <w:rsid w:val="00612409"/>
    <w:rsid w:val="00612465"/>
    <w:rsid w:val="00617387"/>
    <w:rsid w:val="0063537D"/>
    <w:rsid w:val="0063601B"/>
    <w:rsid w:val="006408A4"/>
    <w:rsid w:val="006439E5"/>
    <w:rsid w:val="00653EA9"/>
    <w:rsid w:val="00656576"/>
    <w:rsid w:val="006578EE"/>
    <w:rsid w:val="00657B0C"/>
    <w:rsid w:val="006627DD"/>
    <w:rsid w:val="00662F37"/>
    <w:rsid w:val="00663356"/>
    <w:rsid w:val="00672DE6"/>
    <w:rsid w:val="00673CE4"/>
    <w:rsid w:val="00673F93"/>
    <w:rsid w:val="00677C3D"/>
    <w:rsid w:val="00685357"/>
    <w:rsid w:val="006859FB"/>
    <w:rsid w:val="0069012E"/>
    <w:rsid w:val="00694514"/>
    <w:rsid w:val="006A2FCB"/>
    <w:rsid w:val="006A720C"/>
    <w:rsid w:val="006A75CE"/>
    <w:rsid w:val="006B13B7"/>
    <w:rsid w:val="006B3243"/>
    <w:rsid w:val="006B3EC7"/>
    <w:rsid w:val="006B5ABF"/>
    <w:rsid w:val="006B63D9"/>
    <w:rsid w:val="006C6C7A"/>
    <w:rsid w:val="006D0DF7"/>
    <w:rsid w:val="006D2C3F"/>
    <w:rsid w:val="006D49AD"/>
    <w:rsid w:val="006D5B5F"/>
    <w:rsid w:val="006E686D"/>
    <w:rsid w:val="006F2122"/>
    <w:rsid w:val="006F4753"/>
    <w:rsid w:val="00701350"/>
    <w:rsid w:val="0070534E"/>
    <w:rsid w:val="0070655B"/>
    <w:rsid w:val="00716794"/>
    <w:rsid w:val="00731F80"/>
    <w:rsid w:val="007328FB"/>
    <w:rsid w:val="00735597"/>
    <w:rsid w:val="00737171"/>
    <w:rsid w:val="00737701"/>
    <w:rsid w:val="00737C5D"/>
    <w:rsid w:val="00740B13"/>
    <w:rsid w:val="007431C5"/>
    <w:rsid w:val="007446A9"/>
    <w:rsid w:val="00744D7C"/>
    <w:rsid w:val="0074537C"/>
    <w:rsid w:val="0074649E"/>
    <w:rsid w:val="007518D5"/>
    <w:rsid w:val="007521AD"/>
    <w:rsid w:val="007607B7"/>
    <w:rsid w:val="00762FB9"/>
    <w:rsid w:val="00771EC9"/>
    <w:rsid w:val="00772684"/>
    <w:rsid w:val="00780114"/>
    <w:rsid w:val="007814ED"/>
    <w:rsid w:val="00783460"/>
    <w:rsid w:val="00784ABC"/>
    <w:rsid w:val="00784CF3"/>
    <w:rsid w:val="0078583D"/>
    <w:rsid w:val="00792223"/>
    <w:rsid w:val="00792378"/>
    <w:rsid w:val="00796A6A"/>
    <w:rsid w:val="0079751C"/>
    <w:rsid w:val="007978ED"/>
    <w:rsid w:val="007A04E0"/>
    <w:rsid w:val="007A3E5D"/>
    <w:rsid w:val="007A6142"/>
    <w:rsid w:val="007A712D"/>
    <w:rsid w:val="007B049F"/>
    <w:rsid w:val="007B186D"/>
    <w:rsid w:val="007B3F54"/>
    <w:rsid w:val="007B63C1"/>
    <w:rsid w:val="007B674F"/>
    <w:rsid w:val="007B79AD"/>
    <w:rsid w:val="007C663A"/>
    <w:rsid w:val="007C713D"/>
    <w:rsid w:val="007D34B5"/>
    <w:rsid w:val="007D5515"/>
    <w:rsid w:val="007D5919"/>
    <w:rsid w:val="007D7A27"/>
    <w:rsid w:val="007E03DB"/>
    <w:rsid w:val="007E104E"/>
    <w:rsid w:val="007E3F9D"/>
    <w:rsid w:val="007E5D1F"/>
    <w:rsid w:val="007E74D8"/>
    <w:rsid w:val="007F0A6D"/>
    <w:rsid w:val="007F1B33"/>
    <w:rsid w:val="007F1C89"/>
    <w:rsid w:val="007F4EAF"/>
    <w:rsid w:val="007F4FDD"/>
    <w:rsid w:val="007F7675"/>
    <w:rsid w:val="0080222C"/>
    <w:rsid w:val="0080302D"/>
    <w:rsid w:val="0080420E"/>
    <w:rsid w:val="008043C7"/>
    <w:rsid w:val="00810721"/>
    <w:rsid w:val="00812336"/>
    <w:rsid w:val="008178AF"/>
    <w:rsid w:val="00822E01"/>
    <w:rsid w:val="00823889"/>
    <w:rsid w:val="0082478B"/>
    <w:rsid w:val="00825FB6"/>
    <w:rsid w:val="00837FCB"/>
    <w:rsid w:val="00842C38"/>
    <w:rsid w:val="00843967"/>
    <w:rsid w:val="00843E1C"/>
    <w:rsid w:val="00844EAC"/>
    <w:rsid w:val="0084617A"/>
    <w:rsid w:val="0085179C"/>
    <w:rsid w:val="00852905"/>
    <w:rsid w:val="0085399B"/>
    <w:rsid w:val="00856DF5"/>
    <w:rsid w:val="00857771"/>
    <w:rsid w:val="0086198C"/>
    <w:rsid w:val="00863D2A"/>
    <w:rsid w:val="008642E5"/>
    <w:rsid w:val="00864D9B"/>
    <w:rsid w:val="00874B4C"/>
    <w:rsid w:val="00880B8C"/>
    <w:rsid w:val="00880BD9"/>
    <w:rsid w:val="00882453"/>
    <w:rsid w:val="00886ACE"/>
    <w:rsid w:val="00887325"/>
    <w:rsid w:val="00891EA4"/>
    <w:rsid w:val="008927D0"/>
    <w:rsid w:val="00896E99"/>
    <w:rsid w:val="008A15AE"/>
    <w:rsid w:val="008A19A3"/>
    <w:rsid w:val="008A4D09"/>
    <w:rsid w:val="008B1FD6"/>
    <w:rsid w:val="008B4C54"/>
    <w:rsid w:val="008B5CFE"/>
    <w:rsid w:val="008B6B99"/>
    <w:rsid w:val="008B798A"/>
    <w:rsid w:val="008C1B18"/>
    <w:rsid w:val="008C64C1"/>
    <w:rsid w:val="008C69A9"/>
    <w:rsid w:val="008E1E7D"/>
    <w:rsid w:val="008E3C73"/>
    <w:rsid w:val="008E3DA7"/>
    <w:rsid w:val="008E4D4C"/>
    <w:rsid w:val="008F3C01"/>
    <w:rsid w:val="008F5B14"/>
    <w:rsid w:val="009000DD"/>
    <w:rsid w:val="009001E2"/>
    <w:rsid w:val="00903960"/>
    <w:rsid w:val="009072BE"/>
    <w:rsid w:val="009109CD"/>
    <w:rsid w:val="00915D37"/>
    <w:rsid w:val="009178B8"/>
    <w:rsid w:val="00920966"/>
    <w:rsid w:val="00926384"/>
    <w:rsid w:val="00927008"/>
    <w:rsid w:val="00931EE4"/>
    <w:rsid w:val="00934FFA"/>
    <w:rsid w:val="00940391"/>
    <w:rsid w:val="0094408F"/>
    <w:rsid w:val="00945825"/>
    <w:rsid w:val="009473D5"/>
    <w:rsid w:val="0095405E"/>
    <w:rsid w:val="00954099"/>
    <w:rsid w:val="00954821"/>
    <w:rsid w:val="00954F95"/>
    <w:rsid w:val="009603E4"/>
    <w:rsid w:val="0096247D"/>
    <w:rsid w:val="00962C57"/>
    <w:rsid w:val="00963BC7"/>
    <w:rsid w:val="00970C99"/>
    <w:rsid w:val="00972BCD"/>
    <w:rsid w:val="00975E0D"/>
    <w:rsid w:val="009774A0"/>
    <w:rsid w:val="009774BF"/>
    <w:rsid w:val="00980ADC"/>
    <w:rsid w:val="00981DC6"/>
    <w:rsid w:val="0098355A"/>
    <w:rsid w:val="00985453"/>
    <w:rsid w:val="00994D86"/>
    <w:rsid w:val="009966B1"/>
    <w:rsid w:val="009A0951"/>
    <w:rsid w:val="009A2400"/>
    <w:rsid w:val="009A3A30"/>
    <w:rsid w:val="009B12AE"/>
    <w:rsid w:val="009B260C"/>
    <w:rsid w:val="009B337C"/>
    <w:rsid w:val="009B5D96"/>
    <w:rsid w:val="009C352B"/>
    <w:rsid w:val="009C779D"/>
    <w:rsid w:val="009D035E"/>
    <w:rsid w:val="009D22F0"/>
    <w:rsid w:val="009D3DBE"/>
    <w:rsid w:val="009E4A87"/>
    <w:rsid w:val="009F1D38"/>
    <w:rsid w:val="009F5B09"/>
    <w:rsid w:val="00A02642"/>
    <w:rsid w:val="00A065B4"/>
    <w:rsid w:val="00A07070"/>
    <w:rsid w:val="00A117DA"/>
    <w:rsid w:val="00A15317"/>
    <w:rsid w:val="00A25876"/>
    <w:rsid w:val="00A32D63"/>
    <w:rsid w:val="00A364DF"/>
    <w:rsid w:val="00A37BEA"/>
    <w:rsid w:val="00A41385"/>
    <w:rsid w:val="00A41810"/>
    <w:rsid w:val="00A504D1"/>
    <w:rsid w:val="00A51EE9"/>
    <w:rsid w:val="00A55B73"/>
    <w:rsid w:val="00A6170F"/>
    <w:rsid w:val="00A64AFE"/>
    <w:rsid w:val="00A747DF"/>
    <w:rsid w:val="00A748B4"/>
    <w:rsid w:val="00A75AEF"/>
    <w:rsid w:val="00A7661D"/>
    <w:rsid w:val="00A77AF8"/>
    <w:rsid w:val="00A80280"/>
    <w:rsid w:val="00A828BD"/>
    <w:rsid w:val="00A85504"/>
    <w:rsid w:val="00A93DF4"/>
    <w:rsid w:val="00A948FC"/>
    <w:rsid w:val="00AA2930"/>
    <w:rsid w:val="00AA464E"/>
    <w:rsid w:val="00AA608C"/>
    <w:rsid w:val="00AB2B4D"/>
    <w:rsid w:val="00AB4161"/>
    <w:rsid w:val="00AB42DB"/>
    <w:rsid w:val="00AB4C1B"/>
    <w:rsid w:val="00AC3A97"/>
    <w:rsid w:val="00AC4057"/>
    <w:rsid w:val="00AC41BB"/>
    <w:rsid w:val="00AC4C4C"/>
    <w:rsid w:val="00AC5DD0"/>
    <w:rsid w:val="00AC675A"/>
    <w:rsid w:val="00AC6B1C"/>
    <w:rsid w:val="00AD1FD9"/>
    <w:rsid w:val="00AD37CE"/>
    <w:rsid w:val="00AD5BBE"/>
    <w:rsid w:val="00AE0886"/>
    <w:rsid w:val="00AF1B2A"/>
    <w:rsid w:val="00AF3F74"/>
    <w:rsid w:val="00AF60CF"/>
    <w:rsid w:val="00B046DA"/>
    <w:rsid w:val="00B048AA"/>
    <w:rsid w:val="00B1393C"/>
    <w:rsid w:val="00B154A2"/>
    <w:rsid w:val="00B174C7"/>
    <w:rsid w:val="00B17D96"/>
    <w:rsid w:val="00B2187D"/>
    <w:rsid w:val="00B252EA"/>
    <w:rsid w:val="00B268BC"/>
    <w:rsid w:val="00B30B62"/>
    <w:rsid w:val="00B36098"/>
    <w:rsid w:val="00B37A90"/>
    <w:rsid w:val="00B41474"/>
    <w:rsid w:val="00B439B9"/>
    <w:rsid w:val="00B447AB"/>
    <w:rsid w:val="00B44F74"/>
    <w:rsid w:val="00B45CDB"/>
    <w:rsid w:val="00B465AF"/>
    <w:rsid w:val="00B5242B"/>
    <w:rsid w:val="00B52555"/>
    <w:rsid w:val="00B615C3"/>
    <w:rsid w:val="00B62718"/>
    <w:rsid w:val="00B637CC"/>
    <w:rsid w:val="00B64C9C"/>
    <w:rsid w:val="00B72BCB"/>
    <w:rsid w:val="00B75C06"/>
    <w:rsid w:val="00B76F65"/>
    <w:rsid w:val="00B81591"/>
    <w:rsid w:val="00B848E1"/>
    <w:rsid w:val="00B90A18"/>
    <w:rsid w:val="00B911F2"/>
    <w:rsid w:val="00B920A9"/>
    <w:rsid w:val="00B953D0"/>
    <w:rsid w:val="00B96F41"/>
    <w:rsid w:val="00B97A93"/>
    <w:rsid w:val="00BA106E"/>
    <w:rsid w:val="00BA17EA"/>
    <w:rsid w:val="00BA31A4"/>
    <w:rsid w:val="00BA609E"/>
    <w:rsid w:val="00BB44C9"/>
    <w:rsid w:val="00BB69D4"/>
    <w:rsid w:val="00BB6DF0"/>
    <w:rsid w:val="00BC151A"/>
    <w:rsid w:val="00BC2807"/>
    <w:rsid w:val="00BC4C46"/>
    <w:rsid w:val="00BD004D"/>
    <w:rsid w:val="00BD0DFE"/>
    <w:rsid w:val="00BD1950"/>
    <w:rsid w:val="00BD1A5C"/>
    <w:rsid w:val="00BD4090"/>
    <w:rsid w:val="00BD4CC1"/>
    <w:rsid w:val="00BE581A"/>
    <w:rsid w:val="00BE6121"/>
    <w:rsid w:val="00BE6199"/>
    <w:rsid w:val="00BF1707"/>
    <w:rsid w:val="00BF1CF4"/>
    <w:rsid w:val="00BF26F0"/>
    <w:rsid w:val="00BF2873"/>
    <w:rsid w:val="00BF328E"/>
    <w:rsid w:val="00BF3CEE"/>
    <w:rsid w:val="00BF4916"/>
    <w:rsid w:val="00BF4B90"/>
    <w:rsid w:val="00C0134C"/>
    <w:rsid w:val="00C02879"/>
    <w:rsid w:val="00C029EB"/>
    <w:rsid w:val="00C03E79"/>
    <w:rsid w:val="00C05046"/>
    <w:rsid w:val="00C0531B"/>
    <w:rsid w:val="00C06C97"/>
    <w:rsid w:val="00C11000"/>
    <w:rsid w:val="00C1120A"/>
    <w:rsid w:val="00C12145"/>
    <w:rsid w:val="00C14D5C"/>
    <w:rsid w:val="00C2320F"/>
    <w:rsid w:val="00C252A9"/>
    <w:rsid w:val="00C27310"/>
    <w:rsid w:val="00C42019"/>
    <w:rsid w:val="00C55D4E"/>
    <w:rsid w:val="00C57776"/>
    <w:rsid w:val="00C60949"/>
    <w:rsid w:val="00C63E88"/>
    <w:rsid w:val="00C64B15"/>
    <w:rsid w:val="00C65DEB"/>
    <w:rsid w:val="00C66D89"/>
    <w:rsid w:val="00C72BE1"/>
    <w:rsid w:val="00C7649E"/>
    <w:rsid w:val="00C76AD9"/>
    <w:rsid w:val="00C80C8E"/>
    <w:rsid w:val="00C811AF"/>
    <w:rsid w:val="00C83650"/>
    <w:rsid w:val="00C93A7A"/>
    <w:rsid w:val="00C942CA"/>
    <w:rsid w:val="00C973BD"/>
    <w:rsid w:val="00CA02FB"/>
    <w:rsid w:val="00CA3156"/>
    <w:rsid w:val="00CA34D6"/>
    <w:rsid w:val="00CA5C1C"/>
    <w:rsid w:val="00CB22E8"/>
    <w:rsid w:val="00CB29BC"/>
    <w:rsid w:val="00CB33CB"/>
    <w:rsid w:val="00CB43C2"/>
    <w:rsid w:val="00CB67BB"/>
    <w:rsid w:val="00CC27FE"/>
    <w:rsid w:val="00CC696C"/>
    <w:rsid w:val="00CC6FDA"/>
    <w:rsid w:val="00CD0AA8"/>
    <w:rsid w:val="00CD1B09"/>
    <w:rsid w:val="00CD3995"/>
    <w:rsid w:val="00CE2072"/>
    <w:rsid w:val="00CE28D9"/>
    <w:rsid w:val="00CE3510"/>
    <w:rsid w:val="00CE4E3F"/>
    <w:rsid w:val="00CE6337"/>
    <w:rsid w:val="00CE634D"/>
    <w:rsid w:val="00CF1586"/>
    <w:rsid w:val="00CF1BFF"/>
    <w:rsid w:val="00CF3C4A"/>
    <w:rsid w:val="00CF5152"/>
    <w:rsid w:val="00CF7567"/>
    <w:rsid w:val="00CF7CBA"/>
    <w:rsid w:val="00D0128D"/>
    <w:rsid w:val="00D034D9"/>
    <w:rsid w:val="00D06517"/>
    <w:rsid w:val="00D11226"/>
    <w:rsid w:val="00D146B4"/>
    <w:rsid w:val="00D16B7C"/>
    <w:rsid w:val="00D207A7"/>
    <w:rsid w:val="00D219EF"/>
    <w:rsid w:val="00D236A8"/>
    <w:rsid w:val="00D23A2B"/>
    <w:rsid w:val="00D23C46"/>
    <w:rsid w:val="00D2641E"/>
    <w:rsid w:val="00D308D3"/>
    <w:rsid w:val="00D30D45"/>
    <w:rsid w:val="00D340EA"/>
    <w:rsid w:val="00D3493C"/>
    <w:rsid w:val="00D3561E"/>
    <w:rsid w:val="00D3769C"/>
    <w:rsid w:val="00D40608"/>
    <w:rsid w:val="00D4349F"/>
    <w:rsid w:val="00D47F1E"/>
    <w:rsid w:val="00D5465A"/>
    <w:rsid w:val="00D5668E"/>
    <w:rsid w:val="00D63BD2"/>
    <w:rsid w:val="00D654B5"/>
    <w:rsid w:val="00D6663B"/>
    <w:rsid w:val="00D66D49"/>
    <w:rsid w:val="00D71829"/>
    <w:rsid w:val="00D71F8C"/>
    <w:rsid w:val="00D72777"/>
    <w:rsid w:val="00D7385F"/>
    <w:rsid w:val="00D83DAD"/>
    <w:rsid w:val="00D90F43"/>
    <w:rsid w:val="00D9258E"/>
    <w:rsid w:val="00D933F0"/>
    <w:rsid w:val="00DA147F"/>
    <w:rsid w:val="00DA1E49"/>
    <w:rsid w:val="00DA3C75"/>
    <w:rsid w:val="00DB06F6"/>
    <w:rsid w:val="00DB1FE7"/>
    <w:rsid w:val="00DC1313"/>
    <w:rsid w:val="00DC299B"/>
    <w:rsid w:val="00DC34A7"/>
    <w:rsid w:val="00DD40CB"/>
    <w:rsid w:val="00DD73F0"/>
    <w:rsid w:val="00DE1715"/>
    <w:rsid w:val="00DE34CC"/>
    <w:rsid w:val="00DE4C30"/>
    <w:rsid w:val="00DF2232"/>
    <w:rsid w:val="00DF593F"/>
    <w:rsid w:val="00E00233"/>
    <w:rsid w:val="00E05E0E"/>
    <w:rsid w:val="00E06101"/>
    <w:rsid w:val="00E07634"/>
    <w:rsid w:val="00E07F8B"/>
    <w:rsid w:val="00E1396F"/>
    <w:rsid w:val="00E22724"/>
    <w:rsid w:val="00E2644B"/>
    <w:rsid w:val="00E36C90"/>
    <w:rsid w:val="00E374F6"/>
    <w:rsid w:val="00E43118"/>
    <w:rsid w:val="00E459C4"/>
    <w:rsid w:val="00E465D0"/>
    <w:rsid w:val="00E47541"/>
    <w:rsid w:val="00E51BAE"/>
    <w:rsid w:val="00E5362B"/>
    <w:rsid w:val="00E55E97"/>
    <w:rsid w:val="00E60B39"/>
    <w:rsid w:val="00E65357"/>
    <w:rsid w:val="00E70801"/>
    <w:rsid w:val="00E71B8B"/>
    <w:rsid w:val="00E7596E"/>
    <w:rsid w:val="00E767DE"/>
    <w:rsid w:val="00E81D77"/>
    <w:rsid w:val="00E82FB9"/>
    <w:rsid w:val="00E919CE"/>
    <w:rsid w:val="00E91B68"/>
    <w:rsid w:val="00E96CF1"/>
    <w:rsid w:val="00E974BB"/>
    <w:rsid w:val="00EA3712"/>
    <w:rsid w:val="00EB0BC8"/>
    <w:rsid w:val="00EB761C"/>
    <w:rsid w:val="00EC2560"/>
    <w:rsid w:val="00EC30F9"/>
    <w:rsid w:val="00ED7F5E"/>
    <w:rsid w:val="00EE01D7"/>
    <w:rsid w:val="00EE1CF2"/>
    <w:rsid w:val="00EE27B9"/>
    <w:rsid w:val="00EE2CB5"/>
    <w:rsid w:val="00EE35DE"/>
    <w:rsid w:val="00EE56A1"/>
    <w:rsid w:val="00EE56AA"/>
    <w:rsid w:val="00EE71F5"/>
    <w:rsid w:val="00EF43D0"/>
    <w:rsid w:val="00EF6658"/>
    <w:rsid w:val="00EF6E5D"/>
    <w:rsid w:val="00F02656"/>
    <w:rsid w:val="00F14CFE"/>
    <w:rsid w:val="00F15ED2"/>
    <w:rsid w:val="00F2053E"/>
    <w:rsid w:val="00F23729"/>
    <w:rsid w:val="00F3272B"/>
    <w:rsid w:val="00F3418C"/>
    <w:rsid w:val="00F40A6A"/>
    <w:rsid w:val="00F47B5F"/>
    <w:rsid w:val="00F517AA"/>
    <w:rsid w:val="00F55F58"/>
    <w:rsid w:val="00F60492"/>
    <w:rsid w:val="00F61418"/>
    <w:rsid w:val="00F635DD"/>
    <w:rsid w:val="00F66FA4"/>
    <w:rsid w:val="00F76EB7"/>
    <w:rsid w:val="00F7748E"/>
    <w:rsid w:val="00F8227A"/>
    <w:rsid w:val="00F85CD2"/>
    <w:rsid w:val="00F869AD"/>
    <w:rsid w:val="00F91199"/>
    <w:rsid w:val="00F931F5"/>
    <w:rsid w:val="00F9656B"/>
    <w:rsid w:val="00FA224D"/>
    <w:rsid w:val="00FB2A93"/>
    <w:rsid w:val="00FB2C84"/>
    <w:rsid w:val="00FB372C"/>
    <w:rsid w:val="00FB54C3"/>
    <w:rsid w:val="00FB5716"/>
    <w:rsid w:val="00FC1E40"/>
    <w:rsid w:val="00FC6E75"/>
    <w:rsid w:val="00FD0F49"/>
    <w:rsid w:val="00FE1E4B"/>
    <w:rsid w:val="00FE1F21"/>
    <w:rsid w:val="00FE3CE2"/>
    <w:rsid w:val="00FE43D5"/>
    <w:rsid w:val="00FE74EE"/>
    <w:rsid w:val="00FF3027"/>
    <w:rsid w:val="00FF7B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EB356D-67E0-4609-AADA-48A07557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AE"/>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customStyle="1" w:styleId="Revisortilsynsbreve">
    <w:name w:val="Revisortilsyns breve"/>
    <w:basedOn w:val="Normal"/>
    <w:link w:val="RevisortilsynsbreveTegn"/>
    <w:qFormat/>
    <w:rsid w:val="003D53B9"/>
    <w:pPr>
      <w:tabs>
        <w:tab w:val="left" w:pos="6480"/>
      </w:tabs>
      <w:ind w:right="3120"/>
      <w:jc w:val="both"/>
    </w:pPr>
    <w:rPr>
      <w:rFonts w:ascii="Sylfaen" w:hAnsi="Sylfaen"/>
      <w:iCs/>
      <w:szCs w:val="24"/>
    </w:rPr>
  </w:style>
  <w:style w:type="character" w:customStyle="1" w:styleId="RevisortilsynsbreveTegn">
    <w:name w:val="Revisortilsyns breve Tegn"/>
    <w:basedOn w:val="Standardskrifttypeiafsnit"/>
    <w:link w:val="Revisortilsynsbreve"/>
    <w:rsid w:val="003D53B9"/>
    <w:rPr>
      <w:rFonts w:ascii="Sylfaen" w:hAnsi="Sylfaen"/>
      <w:iCs/>
      <w:sz w:val="24"/>
      <w:szCs w:val="24"/>
    </w:rPr>
  </w:style>
  <w:style w:type="paragraph" w:styleId="Markeringsbobletekst">
    <w:name w:val="Balloon Text"/>
    <w:basedOn w:val="Normal"/>
    <w:link w:val="MarkeringsbobletekstTegn"/>
    <w:uiPriority w:val="99"/>
    <w:semiHidden/>
    <w:unhideWhenUsed/>
    <w:rsid w:val="00B64C9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4C9C"/>
    <w:rPr>
      <w:rFonts w:ascii="Tahoma" w:hAnsi="Tahoma" w:cs="Tahoma"/>
      <w:sz w:val="16"/>
      <w:szCs w:val="16"/>
    </w:rPr>
  </w:style>
  <w:style w:type="paragraph" w:customStyle="1" w:styleId="Default">
    <w:name w:val="Default"/>
    <w:rsid w:val="00EE56AA"/>
    <w:pPr>
      <w:autoSpaceDE w:val="0"/>
      <w:autoSpaceDN w:val="0"/>
      <w:adjustRightInd w:val="0"/>
    </w:pPr>
    <w:rPr>
      <w:rFonts w:ascii="Verdana" w:hAnsi="Verdana" w:cs="Verdana"/>
      <w:color w:val="000000"/>
      <w:sz w:val="24"/>
      <w:szCs w:val="24"/>
    </w:rPr>
  </w:style>
  <w:style w:type="paragraph" w:customStyle="1" w:styleId="liste1">
    <w:name w:val="liste1"/>
    <w:basedOn w:val="Normal"/>
    <w:rsid w:val="00D933F0"/>
    <w:pPr>
      <w:ind w:left="280"/>
    </w:pPr>
    <w:rPr>
      <w:rFonts w:ascii="Tahoma" w:hAnsi="Tahoma" w:cs="Tahoma"/>
      <w:color w:val="000000"/>
      <w:szCs w:val="24"/>
    </w:rPr>
  </w:style>
  <w:style w:type="character" w:styleId="Kommentarhenvisning">
    <w:name w:val="annotation reference"/>
    <w:basedOn w:val="Standardskrifttypeiafsnit"/>
    <w:uiPriority w:val="99"/>
    <w:semiHidden/>
    <w:unhideWhenUsed/>
    <w:rsid w:val="00BC4C46"/>
    <w:rPr>
      <w:sz w:val="16"/>
      <w:szCs w:val="16"/>
    </w:rPr>
  </w:style>
  <w:style w:type="paragraph" w:styleId="Kommentartekst">
    <w:name w:val="annotation text"/>
    <w:basedOn w:val="Normal"/>
    <w:link w:val="KommentartekstTegn"/>
    <w:uiPriority w:val="99"/>
    <w:semiHidden/>
    <w:unhideWhenUsed/>
    <w:rsid w:val="00BC4C46"/>
    <w:rPr>
      <w:sz w:val="20"/>
    </w:rPr>
  </w:style>
  <w:style w:type="character" w:customStyle="1" w:styleId="KommentartekstTegn">
    <w:name w:val="Kommentartekst Tegn"/>
    <w:basedOn w:val="Standardskrifttypeiafsnit"/>
    <w:link w:val="Kommentartekst"/>
    <w:uiPriority w:val="99"/>
    <w:semiHidden/>
    <w:rsid w:val="00BC4C46"/>
    <w:rPr>
      <w:rFonts w:ascii="Arial" w:hAnsi="Arial"/>
    </w:rPr>
  </w:style>
  <w:style w:type="paragraph" w:styleId="Kommentaremne">
    <w:name w:val="annotation subject"/>
    <w:basedOn w:val="Kommentartekst"/>
    <w:next w:val="Kommentartekst"/>
    <w:link w:val="KommentaremneTegn"/>
    <w:uiPriority w:val="99"/>
    <w:semiHidden/>
    <w:unhideWhenUsed/>
    <w:rsid w:val="00BC4C46"/>
    <w:rPr>
      <w:b/>
      <w:bCs/>
    </w:rPr>
  </w:style>
  <w:style w:type="character" w:customStyle="1" w:styleId="KommentaremneTegn">
    <w:name w:val="Kommentaremne Tegn"/>
    <w:basedOn w:val="KommentartekstTegn"/>
    <w:link w:val="Kommentaremne"/>
    <w:uiPriority w:val="99"/>
    <w:semiHidden/>
    <w:rsid w:val="00BC4C46"/>
    <w:rPr>
      <w:rFonts w:ascii="Arial" w:hAnsi="Arial"/>
      <w:b/>
      <w:bCs/>
    </w:rPr>
  </w:style>
  <w:style w:type="paragraph" w:styleId="Fodnotetekst">
    <w:name w:val="footnote text"/>
    <w:basedOn w:val="Normal"/>
    <w:link w:val="FodnotetekstTegn"/>
    <w:uiPriority w:val="99"/>
    <w:semiHidden/>
    <w:unhideWhenUsed/>
    <w:rsid w:val="00506935"/>
    <w:rPr>
      <w:sz w:val="20"/>
    </w:rPr>
  </w:style>
  <w:style w:type="character" w:customStyle="1" w:styleId="FodnotetekstTegn">
    <w:name w:val="Fodnotetekst Tegn"/>
    <w:basedOn w:val="Standardskrifttypeiafsnit"/>
    <w:link w:val="Fodnotetekst"/>
    <w:uiPriority w:val="99"/>
    <w:semiHidden/>
    <w:rsid w:val="00506935"/>
    <w:rPr>
      <w:rFonts w:ascii="Arial" w:hAnsi="Arial"/>
    </w:rPr>
  </w:style>
  <w:style w:type="character" w:styleId="Fodnotehenvisning">
    <w:name w:val="footnote reference"/>
    <w:basedOn w:val="Standardskrifttypeiafsnit"/>
    <w:uiPriority w:val="99"/>
    <w:semiHidden/>
    <w:unhideWhenUsed/>
    <w:rsid w:val="00506935"/>
    <w:rPr>
      <w:vertAlign w:val="superscript"/>
    </w:rPr>
  </w:style>
  <w:style w:type="paragraph" w:styleId="Sidehoved">
    <w:name w:val="header"/>
    <w:basedOn w:val="Normal"/>
    <w:link w:val="SidehovedTegn"/>
    <w:uiPriority w:val="99"/>
    <w:unhideWhenUsed/>
    <w:rsid w:val="00506935"/>
    <w:pPr>
      <w:tabs>
        <w:tab w:val="center" w:pos="4819"/>
        <w:tab w:val="right" w:pos="9638"/>
      </w:tabs>
    </w:pPr>
  </w:style>
  <w:style w:type="character" w:customStyle="1" w:styleId="SidehovedTegn">
    <w:name w:val="Sidehoved Tegn"/>
    <w:basedOn w:val="Standardskrifttypeiafsnit"/>
    <w:link w:val="Sidehoved"/>
    <w:uiPriority w:val="99"/>
    <w:rsid w:val="00506935"/>
    <w:rPr>
      <w:rFonts w:ascii="Arial" w:hAnsi="Arial"/>
      <w:sz w:val="24"/>
    </w:rPr>
  </w:style>
  <w:style w:type="paragraph" w:styleId="Sidefod">
    <w:name w:val="footer"/>
    <w:basedOn w:val="Normal"/>
    <w:link w:val="SidefodTegn"/>
    <w:uiPriority w:val="99"/>
    <w:unhideWhenUsed/>
    <w:rsid w:val="00506935"/>
    <w:pPr>
      <w:tabs>
        <w:tab w:val="center" w:pos="4819"/>
        <w:tab w:val="right" w:pos="9638"/>
      </w:tabs>
    </w:pPr>
  </w:style>
  <w:style w:type="character" w:customStyle="1" w:styleId="SidefodTegn">
    <w:name w:val="Sidefod Tegn"/>
    <w:basedOn w:val="Standardskrifttypeiafsnit"/>
    <w:link w:val="Sidefod"/>
    <w:uiPriority w:val="99"/>
    <w:rsid w:val="005069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28399">
      <w:bodyDiv w:val="1"/>
      <w:marLeft w:val="0"/>
      <w:marRight w:val="0"/>
      <w:marTop w:val="0"/>
      <w:marBottom w:val="0"/>
      <w:divBdr>
        <w:top w:val="none" w:sz="0" w:space="0" w:color="auto"/>
        <w:left w:val="none" w:sz="0" w:space="0" w:color="auto"/>
        <w:bottom w:val="none" w:sz="0" w:space="0" w:color="auto"/>
        <w:right w:val="none" w:sz="0" w:space="0" w:color="auto"/>
      </w:divBdr>
      <w:divsChild>
        <w:div w:id="1289161519">
          <w:marLeft w:val="0"/>
          <w:marRight w:val="0"/>
          <w:marTop w:val="0"/>
          <w:marBottom w:val="300"/>
          <w:divBdr>
            <w:top w:val="none" w:sz="0" w:space="0" w:color="auto"/>
            <w:left w:val="none" w:sz="0" w:space="0" w:color="auto"/>
            <w:bottom w:val="none" w:sz="0" w:space="0" w:color="auto"/>
            <w:right w:val="none" w:sz="0" w:space="0" w:color="auto"/>
          </w:divBdr>
          <w:divsChild>
            <w:div w:id="1381513475">
              <w:marLeft w:val="0"/>
              <w:marRight w:val="0"/>
              <w:marTop w:val="0"/>
              <w:marBottom w:val="0"/>
              <w:divBdr>
                <w:top w:val="none" w:sz="0" w:space="0" w:color="auto"/>
                <w:left w:val="single" w:sz="6" w:space="1" w:color="FFFFFF"/>
                <w:bottom w:val="none" w:sz="0" w:space="0" w:color="auto"/>
                <w:right w:val="single" w:sz="6" w:space="1" w:color="FFFFFF"/>
              </w:divBdr>
              <w:divsChild>
                <w:div w:id="1692998183">
                  <w:marLeft w:val="0"/>
                  <w:marRight w:val="0"/>
                  <w:marTop w:val="0"/>
                  <w:marBottom w:val="0"/>
                  <w:divBdr>
                    <w:top w:val="none" w:sz="0" w:space="0" w:color="auto"/>
                    <w:left w:val="none" w:sz="0" w:space="0" w:color="auto"/>
                    <w:bottom w:val="none" w:sz="0" w:space="0" w:color="auto"/>
                    <w:right w:val="none" w:sz="0" w:space="0" w:color="auto"/>
                  </w:divBdr>
                  <w:divsChild>
                    <w:div w:id="1156844320">
                      <w:marLeft w:val="0"/>
                      <w:marRight w:val="0"/>
                      <w:marTop w:val="0"/>
                      <w:marBottom w:val="0"/>
                      <w:divBdr>
                        <w:top w:val="none" w:sz="0" w:space="0" w:color="auto"/>
                        <w:left w:val="none" w:sz="0" w:space="0" w:color="auto"/>
                        <w:bottom w:val="none" w:sz="0" w:space="0" w:color="auto"/>
                        <w:right w:val="none" w:sz="0" w:space="0" w:color="auto"/>
                      </w:divBdr>
                      <w:divsChild>
                        <w:div w:id="105002386">
                          <w:marLeft w:val="0"/>
                          <w:marRight w:val="0"/>
                          <w:marTop w:val="0"/>
                          <w:marBottom w:val="0"/>
                          <w:divBdr>
                            <w:top w:val="none" w:sz="0" w:space="0" w:color="auto"/>
                            <w:left w:val="none" w:sz="0" w:space="0" w:color="auto"/>
                            <w:bottom w:val="none" w:sz="0" w:space="0" w:color="auto"/>
                            <w:right w:val="none" w:sz="0" w:space="0" w:color="auto"/>
                          </w:divBdr>
                          <w:divsChild>
                            <w:div w:id="41294863">
                              <w:marLeft w:val="0"/>
                              <w:marRight w:val="0"/>
                              <w:marTop w:val="0"/>
                              <w:marBottom w:val="0"/>
                              <w:divBdr>
                                <w:top w:val="none" w:sz="0" w:space="0" w:color="auto"/>
                                <w:left w:val="none" w:sz="0" w:space="0" w:color="auto"/>
                                <w:bottom w:val="none" w:sz="0" w:space="0" w:color="auto"/>
                                <w:right w:val="none" w:sz="0" w:space="0" w:color="auto"/>
                              </w:divBdr>
                              <w:divsChild>
                                <w:div w:id="976496556">
                                  <w:marLeft w:val="0"/>
                                  <w:marRight w:val="0"/>
                                  <w:marTop w:val="0"/>
                                  <w:marBottom w:val="0"/>
                                  <w:divBdr>
                                    <w:top w:val="none" w:sz="0" w:space="0" w:color="auto"/>
                                    <w:left w:val="none" w:sz="0" w:space="0" w:color="auto"/>
                                    <w:bottom w:val="none" w:sz="0" w:space="0" w:color="auto"/>
                                    <w:right w:val="none" w:sz="0" w:space="0" w:color="auto"/>
                                  </w:divBdr>
                                  <w:divsChild>
                                    <w:div w:id="10181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238166">
      <w:bodyDiv w:val="1"/>
      <w:marLeft w:val="0"/>
      <w:marRight w:val="0"/>
      <w:marTop w:val="0"/>
      <w:marBottom w:val="0"/>
      <w:divBdr>
        <w:top w:val="none" w:sz="0" w:space="0" w:color="auto"/>
        <w:left w:val="none" w:sz="0" w:space="0" w:color="auto"/>
        <w:bottom w:val="none" w:sz="0" w:space="0" w:color="auto"/>
        <w:right w:val="none" w:sz="0" w:space="0" w:color="auto"/>
      </w:divBdr>
      <w:divsChild>
        <w:div w:id="1696537142">
          <w:marLeft w:val="0"/>
          <w:marRight w:val="0"/>
          <w:marTop w:val="0"/>
          <w:marBottom w:val="300"/>
          <w:divBdr>
            <w:top w:val="none" w:sz="0" w:space="0" w:color="auto"/>
            <w:left w:val="none" w:sz="0" w:space="0" w:color="auto"/>
            <w:bottom w:val="none" w:sz="0" w:space="0" w:color="auto"/>
            <w:right w:val="none" w:sz="0" w:space="0" w:color="auto"/>
          </w:divBdr>
          <w:divsChild>
            <w:div w:id="913977266">
              <w:marLeft w:val="0"/>
              <w:marRight w:val="0"/>
              <w:marTop w:val="0"/>
              <w:marBottom w:val="0"/>
              <w:divBdr>
                <w:top w:val="none" w:sz="0" w:space="0" w:color="auto"/>
                <w:left w:val="single" w:sz="6" w:space="1" w:color="FFFFFF"/>
                <w:bottom w:val="none" w:sz="0" w:space="0" w:color="auto"/>
                <w:right w:val="single" w:sz="6" w:space="1" w:color="FFFFFF"/>
              </w:divBdr>
              <w:divsChild>
                <w:div w:id="559705347">
                  <w:marLeft w:val="0"/>
                  <w:marRight w:val="0"/>
                  <w:marTop w:val="0"/>
                  <w:marBottom w:val="0"/>
                  <w:divBdr>
                    <w:top w:val="none" w:sz="0" w:space="0" w:color="auto"/>
                    <w:left w:val="none" w:sz="0" w:space="0" w:color="auto"/>
                    <w:bottom w:val="none" w:sz="0" w:space="0" w:color="auto"/>
                    <w:right w:val="none" w:sz="0" w:space="0" w:color="auto"/>
                  </w:divBdr>
                  <w:divsChild>
                    <w:div w:id="360714479">
                      <w:marLeft w:val="0"/>
                      <w:marRight w:val="0"/>
                      <w:marTop w:val="0"/>
                      <w:marBottom w:val="0"/>
                      <w:divBdr>
                        <w:top w:val="none" w:sz="0" w:space="0" w:color="auto"/>
                        <w:left w:val="none" w:sz="0" w:space="0" w:color="auto"/>
                        <w:bottom w:val="none" w:sz="0" w:space="0" w:color="auto"/>
                        <w:right w:val="none" w:sz="0" w:space="0" w:color="auto"/>
                      </w:divBdr>
                      <w:divsChild>
                        <w:div w:id="1931960404">
                          <w:marLeft w:val="0"/>
                          <w:marRight w:val="0"/>
                          <w:marTop w:val="0"/>
                          <w:marBottom w:val="0"/>
                          <w:divBdr>
                            <w:top w:val="none" w:sz="0" w:space="0" w:color="auto"/>
                            <w:left w:val="none" w:sz="0" w:space="0" w:color="auto"/>
                            <w:bottom w:val="none" w:sz="0" w:space="0" w:color="auto"/>
                            <w:right w:val="none" w:sz="0" w:space="0" w:color="auto"/>
                          </w:divBdr>
                          <w:divsChild>
                            <w:div w:id="1292710895">
                              <w:marLeft w:val="0"/>
                              <w:marRight w:val="0"/>
                              <w:marTop w:val="0"/>
                              <w:marBottom w:val="0"/>
                              <w:divBdr>
                                <w:top w:val="none" w:sz="0" w:space="0" w:color="auto"/>
                                <w:left w:val="none" w:sz="0" w:space="0" w:color="auto"/>
                                <w:bottom w:val="none" w:sz="0" w:space="0" w:color="auto"/>
                                <w:right w:val="none" w:sz="0" w:space="0" w:color="auto"/>
                              </w:divBdr>
                              <w:divsChild>
                                <w:div w:id="339234153">
                                  <w:marLeft w:val="0"/>
                                  <w:marRight w:val="0"/>
                                  <w:marTop w:val="0"/>
                                  <w:marBottom w:val="0"/>
                                  <w:divBdr>
                                    <w:top w:val="none" w:sz="0" w:space="0" w:color="auto"/>
                                    <w:left w:val="none" w:sz="0" w:space="0" w:color="auto"/>
                                    <w:bottom w:val="none" w:sz="0" w:space="0" w:color="auto"/>
                                    <w:right w:val="none" w:sz="0" w:space="0" w:color="auto"/>
                                  </w:divBdr>
                                  <w:divsChild>
                                    <w:div w:id="14515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01640">
      <w:bodyDiv w:val="1"/>
      <w:marLeft w:val="0"/>
      <w:marRight w:val="0"/>
      <w:marTop w:val="0"/>
      <w:marBottom w:val="0"/>
      <w:divBdr>
        <w:top w:val="none" w:sz="0" w:space="0" w:color="auto"/>
        <w:left w:val="none" w:sz="0" w:space="0" w:color="auto"/>
        <w:bottom w:val="none" w:sz="0" w:space="0" w:color="auto"/>
        <w:right w:val="none" w:sz="0" w:space="0" w:color="auto"/>
      </w:divBdr>
      <w:divsChild>
        <w:div w:id="320819083">
          <w:marLeft w:val="0"/>
          <w:marRight w:val="0"/>
          <w:marTop w:val="0"/>
          <w:marBottom w:val="300"/>
          <w:divBdr>
            <w:top w:val="none" w:sz="0" w:space="0" w:color="auto"/>
            <w:left w:val="none" w:sz="0" w:space="0" w:color="auto"/>
            <w:bottom w:val="none" w:sz="0" w:space="0" w:color="auto"/>
            <w:right w:val="none" w:sz="0" w:space="0" w:color="auto"/>
          </w:divBdr>
          <w:divsChild>
            <w:div w:id="2024045307">
              <w:marLeft w:val="0"/>
              <w:marRight w:val="0"/>
              <w:marTop w:val="0"/>
              <w:marBottom w:val="0"/>
              <w:divBdr>
                <w:top w:val="none" w:sz="0" w:space="0" w:color="auto"/>
                <w:left w:val="single" w:sz="6" w:space="1" w:color="FFFFFF"/>
                <w:bottom w:val="none" w:sz="0" w:space="0" w:color="auto"/>
                <w:right w:val="single" w:sz="6" w:space="1" w:color="FFFFFF"/>
              </w:divBdr>
              <w:divsChild>
                <w:div w:id="332610117">
                  <w:marLeft w:val="0"/>
                  <w:marRight w:val="0"/>
                  <w:marTop w:val="0"/>
                  <w:marBottom w:val="0"/>
                  <w:divBdr>
                    <w:top w:val="none" w:sz="0" w:space="0" w:color="auto"/>
                    <w:left w:val="none" w:sz="0" w:space="0" w:color="auto"/>
                    <w:bottom w:val="none" w:sz="0" w:space="0" w:color="auto"/>
                    <w:right w:val="none" w:sz="0" w:space="0" w:color="auto"/>
                  </w:divBdr>
                  <w:divsChild>
                    <w:div w:id="120922308">
                      <w:marLeft w:val="0"/>
                      <w:marRight w:val="0"/>
                      <w:marTop w:val="0"/>
                      <w:marBottom w:val="0"/>
                      <w:divBdr>
                        <w:top w:val="none" w:sz="0" w:space="0" w:color="auto"/>
                        <w:left w:val="none" w:sz="0" w:space="0" w:color="auto"/>
                        <w:bottom w:val="none" w:sz="0" w:space="0" w:color="auto"/>
                        <w:right w:val="none" w:sz="0" w:space="0" w:color="auto"/>
                      </w:divBdr>
                      <w:divsChild>
                        <w:div w:id="1819611064">
                          <w:marLeft w:val="0"/>
                          <w:marRight w:val="0"/>
                          <w:marTop w:val="0"/>
                          <w:marBottom w:val="0"/>
                          <w:divBdr>
                            <w:top w:val="none" w:sz="0" w:space="0" w:color="auto"/>
                            <w:left w:val="none" w:sz="0" w:space="0" w:color="auto"/>
                            <w:bottom w:val="none" w:sz="0" w:space="0" w:color="auto"/>
                            <w:right w:val="none" w:sz="0" w:space="0" w:color="auto"/>
                          </w:divBdr>
                          <w:divsChild>
                            <w:div w:id="58289419">
                              <w:marLeft w:val="0"/>
                              <w:marRight w:val="0"/>
                              <w:marTop w:val="0"/>
                              <w:marBottom w:val="0"/>
                              <w:divBdr>
                                <w:top w:val="none" w:sz="0" w:space="0" w:color="auto"/>
                                <w:left w:val="none" w:sz="0" w:space="0" w:color="auto"/>
                                <w:bottom w:val="none" w:sz="0" w:space="0" w:color="auto"/>
                                <w:right w:val="none" w:sz="0" w:space="0" w:color="auto"/>
                              </w:divBdr>
                              <w:divsChild>
                                <w:div w:id="1760172704">
                                  <w:marLeft w:val="0"/>
                                  <w:marRight w:val="0"/>
                                  <w:marTop w:val="0"/>
                                  <w:marBottom w:val="0"/>
                                  <w:divBdr>
                                    <w:top w:val="none" w:sz="0" w:space="0" w:color="auto"/>
                                    <w:left w:val="none" w:sz="0" w:space="0" w:color="auto"/>
                                    <w:bottom w:val="none" w:sz="0" w:space="0" w:color="auto"/>
                                    <w:right w:val="none" w:sz="0" w:space="0" w:color="auto"/>
                                  </w:divBdr>
                                  <w:divsChild>
                                    <w:div w:id="20865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1683-26D0-4C90-958E-BD425108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7869</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Erhvervs- og Selskabsstyrelsen</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Ploug (EOGS)</dc:creator>
  <cp:lastModifiedBy>Hanne Groth</cp:lastModifiedBy>
  <cp:revision>2</cp:revision>
  <cp:lastPrinted>2013-07-01T12:08:00Z</cp:lastPrinted>
  <dcterms:created xsi:type="dcterms:W3CDTF">2019-02-13T12:14:00Z</dcterms:created>
  <dcterms:modified xsi:type="dcterms:W3CDTF">2019-02-13T12:14:00Z</dcterms:modified>
</cp:coreProperties>
</file>